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92"/>
        <w:tblW w:w="0" w:type="auto"/>
        <w:tblLayout w:type="fixed"/>
        <w:tblCellMar>
          <w:left w:w="0" w:type="dxa"/>
          <w:right w:w="0" w:type="dxa"/>
        </w:tblCellMar>
        <w:tblLook w:val="01E0" w:firstRow="1" w:lastRow="1" w:firstColumn="1" w:lastColumn="1" w:noHBand="0" w:noVBand="0"/>
      </w:tblPr>
      <w:tblGrid>
        <w:gridCol w:w="9244"/>
      </w:tblGrid>
      <w:tr w:rsidR="007476F5" w:rsidTr="00A3328B">
        <w:trPr>
          <w:trHeight w:val="2417"/>
        </w:trPr>
        <w:tc>
          <w:tcPr>
            <w:tcW w:w="9244" w:type="dxa"/>
          </w:tcPr>
          <w:p w:rsidR="00A3328B" w:rsidRDefault="00D64EE8" w:rsidP="00A3328B">
            <w:pPr>
              <w:pStyle w:val="TableParagraph"/>
              <w:ind w:left="712"/>
              <w:rPr>
                <w:sz w:val="20"/>
              </w:rPr>
            </w:pPr>
            <w:r>
              <w:rPr>
                <w:noProof/>
                <w:sz w:val="20"/>
              </w:rPr>
              <w:drawing>
                <wp:inline distT="0" distB="0" distL="0" distR="0">
                  <wp:extent cx="4961890" cy="944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61890" cy="944879"/>
                          </a:xfrm>
                          <a:prstGeom prst="rect">
                            <a:avLst/>
                          </a:prstGeom>
                        </pic:spPr>
                      </pic:pic>
                    </a:graphicData>
                  </a:graphic>
                </wp:inline>
              </w:drawing>
            </w:r>
          </w:p>
          <w:p w:rsidR="00A3328B" w:rsidRDefault="00A3328B" w:rsidP="00A3328B"/>
          <w:p w:rsidR="00A3328B" w:rsidRPr="00CB16D0" w:rsidRDefault="00A3328B" w:rsidP="00A3328B">
            <w:pPr>
              <w:ind w:left="90"/>
              <w:jc w:val="center"/>
              <w:rPr>
                <w:b/>
                <w:color w:val="0000FF"/>
                <w:sz w:val="20"/>
                <w:szCs w:val="20"/>
                <w:lang w:val="en-AU"/>
              </w:rPr>
            </w:pPr>
            <w:r w:rsidRPr="00CB16D0">
              <w:rPr>
                <w:b/>
                <w:color w:val="0000FF"/>
                <w:sz w:val="20"/>
                <w:szCs w:val="20"/>
                <w:lang w:val="en-AU"/>
              </w:rPr>
              <w:t>GOVERNMENT OF THE COOK ISLANDS</w:t>
            </w:r>
          </w:p>
          <w:p w:rsidR="00A3328B" w:rsidRPr="00CB16D0" w:rsidRDefault="00A3328B" w:rsidP="00A3328B">
            <w:pPr>
              <w:keepNext/>
              <w:jc w:val="center"/>
              <w:outlineLvl w:val="2"/>
              <w:rPr>
                <w:b/>
                <w:bCs/>
                <w:sz w:val="28"/>
                <w:szCs w:val="28"/>
                <w:lang w:val="en-AU"/>
              </w:rPr>
            </w:pPr>
            <w:r w:rsidRPr="00CB16D0">
              <w:rPr>
                <w:b/>
                <w:bCs/>
                <w:sz w:val="28"/>
                <w:szCs w:val="28"/>
                <w:lang w:val="en-AU"/>
              </w:rPr>
              <w:t>MINISTRY OF INTERNAL AFFAIRS</w:t>
            </w:r>
          </w:p>
          <w:p w:rsidR="007476F5" w:rsidRPr="00A3328B" w:rsidRDefault="00A3328B" w:rsidP="00A3328B">
            <w:pPr>
              <w:tabs>
                <w:tab w:val="left" w:pos="4020"/>
              </w:tabs>
            </w:pPr>
            <w:r>
              <w:tab/>
            </w:r>
          </w:p>
        </w:tc>
      </w:tr>
      <w:tr w:rsidR="007476F5" w:rsidTr="00A3328B">
        <w:trPr>
          <w:trHeight w:val="1904"/>
        </w:trPr>
        <w:tc>
          <w:tcPr>
            <w:tcW w:w="9244" w:type="dxa"/>
            <w:tcBorders>
              <w:bottom w:val="single" w:sz="4" w:space="0" w:color="4F81BC"/>
            </w:tcBorders>
          </w:tcPr>
          <w:p w:rsidR="007476F5" w:rsidRDefault="007476F5" w:rsidP="00A3328B">
            <w:pPr>
              <w:pStyle w:val="TableParagraph"/>
              <w:ind w:left="0"/>
              <w:rPr>
                <w:sz w:val="26"/>
              </w:rPr>
            </w:pPr>
          </w:p>
          <w:p w:rsidR="007476F5" w:rsidRDefault="007476F5" w:rsidP="00A3328B">
            <w:pPr>
              <w:pStyle w:val="TableParagraph"/>
              <w:ind w:left="0"/>
              <w:rPr>
                <w:sz w:val="26"/>
              </w:rPr>
            </w:pPr>
          </w:p>
          <w:p w:rsidR="007476F5" w:rsidRDefault="007476F5" w:rsidP="00A3328B">
            <w:pPr>
              <w:pStyle w:val="TableParagraph"/>
              <w:spacing w:before="11"/>
              <w:ind w:left="0"/>
              <w:rPr>
                <w:sz w:val="27"/>
              </w:rPr>
            </w:pPr>
          </w:p>
          <w:p w:rsidR="007476F5" w:rsidRDefault="00D64EE8" w:rsidP="000B1406">
            <w:pPr>
              <w:pStyle w:val="TableParagraph"/>
              <w:ind w:left="2583" w:right="2587"/>
              <w:jc w:val="center"/>
              <w:rPr>
                <w:sz w:val="24"/>
              </w:rPr>
            </w:pPr>
            <w:r>
              <w:rPr>
                <w:sz w:val="24"/>
              </w:rPr>
              <w:t>[Cook I</w:t>
            </w:r>
            <w:r w:rsidR="000B1406">
              <w:rPr>
                <w:sz w:val="24"/>
              </w:rPr>
              <w:t>slands Social Impact Fund Criteria &amp; Guideline</w:t>
            </w:r>
            <w:r>
              <w:rPr>
                <w:sz w:val="24"/>
              </w:rPr>
              <w:t>]</w:t>
            </w:r>
          </w:p>
        </w:tc>
      </w:tr>
      <w:tr w:rsidR="007476F5" w:rsidTr="00A3328B">
        <w:trPr>
          <w:trHeight w:val="1435"/>
        </w:trPr>
        <w:tc>
          <w:tcPr>
            <w:tcW w:w="9244" w:type="dxa"/>
            <w:tcBorders>
              <w:top w:val="single" w:sz="4" w:space="0" w:color="4F81BC"/>
            </w:tcBorders>
          </w:tcPr>
          <w:p w:rsidR="007476F5" w:rsidRDefault="007476F5" w:rsidP="00A3328B">
            <w:pPr>
              <w:pStyle w:val="TableParagraph"/>
              <w:ind w:left="0"/>
              <w:rPr>
                <w:sz w:val="26"/>
              </w:rPr>
            </w:pPr>
          </w:p>
          <w:p w:rsidR="007476F5" w:rsidRDefault="00D64EE8" w:rsidP="00A3328B">
            <w:pPr>
              <w:pStyle w:val="TableParagraph"/>
              <w:spacing w:before="218"/>
              <w:ind w:left="2583" w:right="2584"/>
              <w:jc w:val="center"/>
              <w:rPr>
                <w:b/>
                <w:sz w:val="24"/>
              </w:rPr>
            </w:pPr>
            <w:r>
              <w:rPr>
                <w:b/>
                <w:sz w:val="24"/>
              </w:rPr>
              <w:t>Administered by</w:t>
            </w:r>
          </w:p>
          <w:p w:rsidR="007476F5" w:rsidRDefault="007476F5" w:rsidP="00A3328B">
            <w:pPr>
              <w:pStyle w:val="TableParagraph"/>
              <w:spacing w:before="10"/>
              <w:ind w:left="0"/>
              <w:rPr>
                <w:sz w:val="20"/>
              </w:rPr>
            </w:pPr>
          </w:p>
          <w:p w:rsidR="007476F5" w:rsidRDefault="00D64EE8" w:rsidP="000B1406">
            <w:pPr>
              <w:pStyle w:val="TableParagraph"/>
              <w:ind w:left="2583" w:right="2583"/>
              <w:jc w:val="center"/>
              <w:rPr>
                <w:b/>
                <w:sz w:val="24"/>
              </w:rPr>
            </w:pPr>
            <w:r>
              <w:rPr>
                <w:b/>
                <w:sz w:val="24"/>
              </w:rPr>
              <w:t>the Ministry of Internal Affairs</w:t>
            </w:r>
          </w:p>
        </w:tc>
      </w:tr>
      <w:tr w:rsidR="007476F5" w:rsidTr="00A3328B">
        <w:trPr>
          <w:trHeight w:val="392"/>
        </w:trPr>
        <w:tc>
          <w:tcPr>
            <w:tcW w:w="9244" w:type="dxa"/>
          </w:tcPr>
          <w:p w:rsidR="007476F5" w:rsidRDefault="007476F5" w:rsidP="00A3328B">
            <w:pPr>
              <w:pStyle w:val="TableParagraph"/>
              <w:spacing w:before="116" w:line="256" w:lineRule="exact"/>
              <w:ind w:left="2583" w:right="2585"/>
              <w:jc w:val="center"/>
              <w:rPr>
                <w:b/>
                <w:sz w:val="24"/>
              </w:rPr>
            </w:pPr>
          </w:p>
        </w:tc>
      </w:tr>
    </w:tbl>
    <w:p w:rsidR="007476F5" w:rsidRDefault="00A3328B">
      <w:pPr>
        <w:spacing w:line="256" w:lineRule="exact"/>
        <w:jc w:val="center"/>
        <w:rPr>
          <w:sz w:val="24"/>
        </w:rPr>
        <w:sectPr w:rsidR="007476F5">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1220" w:bottom="1120" w:left="1200" w:header="720" w:footer="923" w:gutter="0"/>
          <w:pgNumType w:start="1"/>
          <w:cols w:space="720"/>
        </w:sectPr>
      </w:pPr>
      <w:r>
        <w:rPr>
          <w:b/>
          <w:noProof/>
          <w:color w:val="0000FF"/>
          <w:sz w:val="20"/>
          <w:szCs w:val="20"/>
        </w:rPr>
        <w:drawing>
          <wp:anchor distT="0" distB="0" distL="114300" distR="114300" simplePos="0" relativeHeight="251659264" behindDoc="0" locked="0" layoutInCell="1" allowOverlap="1" wp14:anchorId="0C2211A9" wp14:editId="120C44E2">
            <wp:simplePos x="0" y="0"/>
            <wp:positionH relativeFrom="column">
              <wp:posOffset>-672998</wp:posOffset>
            </wp:positionH>
            <wp:positionV relativeFrom="page">
              <wp:posOffset>441960</wp:posOffset>
            </wp:positionV>
            <wp:extent cx="1057275" cy="915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915155"/>
                    </a:xfrm>
                    <a:prstGeom prst="rect">
                      <a:avLst/>
                    </a:prstGeom>
                    <a:noFill/>
                  </pic:spPr>
                </pic:pic>
              </a:graphicData>
            </a:graphic>
            <wp14:sizeRelH relativeFrom="page">
              <wp14:pctWidth>0</wp14:pctWidth>
            </wp14:sizeRelH>
            <wp14:sizeRelV relativeFrom="page">
              <wp14:pctHeight>0</wp14:pctHeight>
            </wp14:sizeRelV>
          </wp:anchor>
        </w:drawing>
      </w:r>
    </w:p>
    <w:p w:rsidR="000B1406" w:rsidRPr="000B1406" w:rsidRDefault="000B1406" w:rsidP="000B1406">
      <w:pPr>
        <w:spacing w:before="123"/>
        <w:ind w:left="240"/>
        <w:outlineLvl w:val="1"/>
        <w:rPr>
          <w:b/>
          <w:bCs/>
          <w:sz w:val="24"/>
          <w:szCs w:val="24"/>
        </w:rPr>
      </w:pPr>
      <w:bookmarkStart w:id="0" w:name="_TOC_250008"/>
      <w:bookmarkEnd w:id="0"/>
      <w:r w:rsidRPr="000B1406">
        <w:rPr>
          <w:b/>
          <w:bCs/>
          <w:sz w:val="24"/>
          <w:szCs w:val="24"/>
        </w:rPr>
        <w:lastRenderedPageBreak/>
        <w:t>Introduction</w:t>
      </w:r>
    </w:p>
    <w:p w:rsidR="000B1406" w:rsidRPr="000B1406" w:rsidRDefault="000B1406" w:rsidP="000B1406">
      <w:pPr>
        <w:spacing w:before="99" w:line="276" w:lineRule="auto"/>
        <w:ind w:left="240" w:right="215"/>
        <w:jc w:val="both"/>
        <w:rPr>
          <w:sz w:val="24"/>
          <w:szCs w:val="24"/>
        </w:rPr>
      </w:pPr>
      <w:r w:rsidRPr="000B1406">
        <w:rPr>
          <w:sz w:val="24"/>
          <w:szCs w:val="24"/>
        </w:rPr>
        <w:t>The Cook Islands Social Impact Fund (SIF) is a contestable grant fund administered by the Ministry of Internal Affairs. The SIF is designed to contribute to the achievement of the national sustainable development plan goals through national social policies developed by the Ministry.</w:t>
      </w:r>
    </w:p>
    <w:p w:rsidR="000B1406" w:rsidRPr="000B1406" w:rsidRDefault="000B1406" w:rsidP="000B1406">
      <w:pPr>
        <w:spacing w:before="199" w:line="276" w:lineRule="auto"/>
        <w:ind w:left="240" w:right="214"/>
        <w:jc w:val="both"/>
        <w:rPr>
          <w:color w:val="000000" w:themeColor="text1"/>
          <w:sz w:val="24"/>
          <w:szCs w:val="24"/>
        </w:rPr>
      </w:pPr>
      <w:r w:rsidRPr="000B1406">
        <w:rPr>
          <w:sz w:val="24"/>
          <w:szCs w:val="24"/>
        </w:rPr>
        <w:t xml:space="preserve">The SIF is fully funded by the Cook Islands Government to support Registered Civil Society Organisations (CSO), Civil Society groups, Sports and Faith based organisations and Community groups. Calls for proposals to access the SIF are made </w:t>
      </w:r>
      <w:r w:rsidRPr="000B1406">
        <w:rPr>
          <w:color w:val="FF0000"/>
          <w:sz w:val="24"/>
          <w:szCs w:val="24"/>
        </w:rPr>
        <w:t xml:space="preserve">at least </w:t>
      </w:r>
      <w:r w:rsidRPr="000B1406">
        <w:rPr>
          <w:sz w:val="24"/>
          <w:szCs w:val="24"/>
        </w:rPr>
        <w:t xml:space="preserve">once a year for Project Funding, once every three years for Programme Funding </w:t>
      </w:r>
      <w:r w:rsidRPr="000B1406">
        <w:rPr>
          <w:color w:val="000000" w:themeColor="text1"/>
          <w:sz w:val="24"/>
          <w:szCs w:val="24"/>
        </w:rPr>
        <w:t>and Support &amp; Awareness Funding.</w:t>
      </w:r>
    </w:p>
    <w:p w:rsidR="000B1406" w:rsidRPr="000B1406" w:rsidRDefault="000B1406" w:rsidP="000B1406">
      <w:pPr>
        <w:spacing w:before="3"/>
        <w:rPr>
          <w:sz w:val="21"/>
          <w:szCs w:val="24"/>
        </w:rPr>
      </w:pPr>
    </w:p>
    <w:p w:rsidR="000B1406" w:rsidRPr="000B1406" w:rsidRDefault="000B1406" w:rsidP="000B1406">
      <w:pPr>
        <w:ind w:left="240"/>
        <w:outlineLvl w:val="1"/>
        <w:rPr>
          <w:b/>
          <w:bCs/>
          <w:sz w:val="24"/>
          <w:szCs w:val="24"/>
        </w:rPr>
      </w:pPr>
      <w:bookmarkStart w:id="1" w:name="_TOC_250006"/>
      <w:bookmarkEnd w:id="1"/>
      <w:r w:rsidRPr="000B1406">
        <w:rPr>
          <w:b/>
          <w:bCs/>
          <w:sz w:val="24"/>
          <w:szCs w:val="24"/>
        </w:rPr>
        <w:t>Purpose</w:t>
      </w:r>
    </w:p>
    <w:p w:rsidR="000B1406" w:rsidRDefault="000B1406" w:rsidP="00B973EB">
      <w:pPr>
        <w:spacing w:before="96" w:line="276" w:lineRule="auto"/>
        <w:ind w:left="240" w:right="214"/>
        <w:jc w:val="both"/>
        <w:rPr>
          <w:sz w:val="24"/>
        </w:rPr>
      </w:pPr>
      <w:r w:rsidRPr="000B1406">
        <w:rPr>
          <w:sz w:val="24"/>
          <w:szCs w:val="24"/>
        </w:rPr>
        <w:t xml:space="preserve">The SIF provides for the delivery of quality services (programme &amp; project) by Civil Society Organisations to meet the needs of those most vulnerable and is focused on priority areas. </w:t>
      </w:r>
    </w:p>
    <w:p w:rsidR="000B1406" w:rsidRDefault="000B1406" w:rsidP="000B1406">
      <w:pPr>
        <w:tabs>
          <w:tab w:val="left" w:pos="601"/>
        </w:tabs>
        <w:spacing w:before="3"/>
        <w:jc w:val="both"/>
        <w:rPr>
          <w:sz w:val="24"/>
        </w:rPr>
      </w:pPr>
    </w:p>
    <w:p w:rsidR="000B1406" w:rsidRPr="000B1406" w:rsidRDefault="000B1406" w:rsidP="000B1406">
      <w:pPr>
        <w:ind w:left="240"/>
        <w:outlineLvl w:val="1"/>
        <w:rPr>
          <w:b/>
          <w:bCs/>
          <w:sz w:val="24"/>
          <w:szCs w:val="24"/>
        </w:rPr>
      </w:pPr>
      <w:r>
        <w:rPr>
          <w:b/>
          <w:bCs/>
          <w:sz w:val="24"/>
          <w:szCs w:val="24"/>
        </w:rPr>
        <w:t>Priority Areas or Focus Groups</w:t>
      </w:r>
      <w:r w:rsidR="00B973EB">
        <w:rPr>
          <w:b/>
          <w:bCs/>
          <w:sz w:val="24"/>
          <w:szCs w:val="24"/>
        </w:rPr>
        <w:t>:</w:t>
      </w:r>
    </w:p>
    <w:p w:rsidR="000B1406" w:rsidRDefault="000B1406" w:rsidP="000B1406">
      <w:pPr>
        <w:numPr>
          <w:ilvl w:val="0"/>
          <w:numId w:val="3"/>
        </w:numPr>
        <w:tabs>
          <w:tab w:val="left" w:pos="601"/>
        </w:tabs>
        <w:spacing w:before="1" w:line="273" w:lineRule="auto"/>
        <w:ind w:right="361"/>
        <w:jc w:val="both"/>
        <w:rPr>
          <w:sz w:val="24"/>
        </w:rPr>
      </w:pPr>
      <w:r>
        <w:rPr>
          <w:sz w:val="24"/>
        </w:rPr>
        <w:t>Gender;</w:t>
      </w:r>
    </w:p>
    <w:p w:rsidR="000B1406" w:rsidRDefault="000B1406" w:rsidP="000B1406">
      <w:pPr>
        <w:numPr>
          <w:ilvl w:val="0"/>
          <w:numId w:val="3"/>
        </w:numPr>
        <w:tabs>
          <w:tab w:val="left" w:pos="601"/>
        </w:tabs>
        <w:spacing w:before="1" w:line="273" w:lineRule="auto"/>
        <w:ind w:right="361"/>
        <w:jc w:val="both"/>
        <w:rPr>
          <w:sz w:val="24"/>
        </w:rPr>
      </w:pPr>
      <w:r>
        <w:rPr>
          <w:sz w:val="24"/>
        </w:rPr>
        <w:t>Children &amp; Youth;</w:t>
      </w:r>
    </w:p>
    <w:p w:rsidR="000B1406" w:rsidRDefault="000B1406" w:rsidP="000B1406">
      <w:pPr>
        <w:numPr>
          <w:ilvl w:val="0"/>
          <w:numId w:val="3"/>
        </w:numPr>
        <w:tabs>
          <w:tab w:val="left" w:pos="601"/>
        </w:tabs>
        <w:spacing w:before="1" w:line="273" w:lineRule="auto"/>
        <w:ind w:right="361"/>
        <w:jc w:val="both"/>
        <w:rPr>
          <w:sz w:val="24"/>
        </w:rPr>
      </w:pPr>
      <w:r>
        <w:rPr>
          <w:sz w:val="24"/>
        </w:rPr>
        <w:t>Person with Disability – PWD;</w:t>
      </w:r>
    </w:p>
    <w:p w:rsidR="000B1406" w:rsidRDefault="000B1406" w:rsidP="000B1406">
      <w:pPr>
        <w:numPr>
          <w:ilvl w:val="0"/>
          <w:numId w:val="3"/>
        </w:numPr>
        <w:tabs>
          <w:tab w:val="left" w:pos="601"/>
        </w:tabs>
        <w:spacing w:before="1" w:line="273" w:lineRule="auto"/>
        <w:ind w:right="361"/>
        <w:jc w:val="both"/>
        <w:rPr>
          <w:sz w:val="24"/>
        </w:rPr>
      </w:pPr>
      <w:r>
        <w:rPr>
          <w:sz w:val="24"/>
        </w:rPr>
        <w:t>Elderly;</w:t>
      </w:r>
    </w:p>
    <w:p w:rsidR="000B1406" w:rsidRDefault="000B1406" w:rsidP="000B1406">
      <w:pPr>
        <w:numPr>
          <w:ilvl w:val="0"/>
          <w:numId w:val="3"/>
        </w:numPr>
        <w:tabs>
          <w:tab w:val="left" w:pos="601"/>
        </w:tabs>
        <w:spacing w:before="1" w:line="273" w:lineRule="auto"/>
        <w:ind w:right="361"/>
        <w:jc w:val="both"/>
        <w:rPr>
          <w:sz w:val="24"/>
        </w:rPr>
      </w:pPr>
      <w:r>
        <w:rPr>
          <w:sz w:val="24"/>
        </w:rPr>
        <w:t xml:space="preserve">Domestic Violence; and  </w:t>
      </w:r>
    </w:p>
    <w:p w:rsidR="000B1406" w:rsidRDefault="000B1406" w:rsidP="000B1406">
      <w:pPr>
        <w:numPr>
          <w:ilvl w:val="0"/>
          <w:numId w:val="3"/>
        </w:numPr>
        <w:tabs>
          <w:tab w:val="left" w:pos="601"/>
        </w:tabs>
        <w:spacing w:before="1" w:line="273" w:lineRule="auto"/>
        <w:ind w:right="361"/>
        <w:jc w:val="both"/>
        <w:rPr>
          <w:sz w:val="24"/>
        </w:rPr>
      </w:pPr>
      <w:r>
        <w:rPr>
          <w:sz w:val="24"/>
        </w:rPr>
        <w:t>Mental Health</w:t>
      </w:r>
    </w:p>
    <w:p w:rsidR="00B973EB" w:rsidRDefault="00B973EB" w:rsidP="00B973EB">
      <w:pPr>
        <w:tabs>
          <w:tab w:val="left" w:pos="601"/>
        </w:tabs>
        <w:spacing w:before="1" w:line="273" w:lineRule="auto"/>
        <w:ind w:left="240" w:right="361"/>
        <w:jc w:val="both"/>
        <w:rPr>
          <w:sz w:val="24"/>
        </w:rPr>
      </w:pPr>
    </w:p>
    <w:p w:rsidR="00B973EB" w:rsidRPr="00B973EB" w:rsidRDefault="00B973EB" w:rsidP="00B973EB">
      <w:pPr>
        <w:spacing w:before="96" w:line="276" w:lineRule="auto"/>
        <w:ind w:left="240" w:right="214"/>
        <w:jc w:val="both"/>
        <w:rPr>
          <w:b/>
          <w:sz w:val="24"/>
          <w:szCs w:val="24"/>
        </w:rPr>
      </w:pPr>
      <w:r w:rsidRPr="00B973EB">
        <w:rPr>
          <w:b/>
          <w:sz w:val="24"/>
          <w:szCs w:val="24"/>
        </w:rPr>
        <w:t>These areas are primarily aligned to:</w:t>
      </w:r>
    </w:p>
    <w:p w:rsidR="00B973EB" w:rsidRPr="000B1406" w:rsidRDefault="00B973EB" w:rsidP="00B973EB">
      <w:pPr>
        <w:numPr>
          <w:ilvl w:val="0"/>
          <w:numId w:val="3"/>
        </w:numPr>
        <w:tabs>
          <w:tab w:val="left" w:pos="601"/>
        </w:tabs>
        <w:spacing w:before="1" w:line="273" w:lineRule="auto"/>
        <w:ind w:right="361"/>
        <w:jc w:val="both"/>
        <w:rPr>
          <w:sz w:val="24"/>
        </w:rPr>
      </w:pPr>
      <w:r w:rsidRPr="000B1406">
        <w:rPr>
          <w:sz w:val="24"/>
        </w:rPr>
        <w:t>Goal 9: Accelerate gender equality, empower all women and girls and advance the</w:t>
      </w:r>
      <w:r w:rsidRPr="000B1406">
        <w:rPr>
          <w:spacing w:val="-19"/>
          <w:sz w:val="24"/>
        </w:rPr>
        <w:t xml:space="preserve"> </w:t>
      </w:r>
      <w:r w:rsidRPr="000B1406">
        <w:rPr>
          <w:sz w:val="24"/>
        </w:rPr>
        <w:t>rights of Youth, the elderly and</w:t>
      </w:r>
      <w:r w:rsidRPr="000B1406">
        <w:rPr>
          <w:spacing w:val="-3"/>
          <w:sz w:val="24"/>
        </w:rPr>
        <w:t xml:space="preserve"> </w:t>
      </w:r>
      <w:r w:rsidRPr="000B1406">
        <w:rPr>
          <w:sz w:val="24"/>
        </w:rPr>
        <w:t>disabled</w:t>
      </w:r>
      <w:r>
        <w:rPr>
          <w:sz w:val="24"/>
        </w:rPr>
        <w:t xml:space="preserve">; and </w:t>
      </w:r>
    </w:p>
    <w:p w:rsidR="00B973EB" w:rsidRDefault="00B973EB" w:rsidP="00B973EB">
      <w:pPr>
        <w:numPr>
          <w:ilvl w:val="0"/>
          <w:numId w:val="3"/>
        </w:numPr>
        <w:tabs>
          <w:tab w:val="left" w:pos="601"/>
        </w:tabs>
        <w:spacing w:before="3"/>
        <w:ind w:hanging="361"/>
        <w:jc w:val="both"/>
        <w:rPr>
          <w:sz w:val="24"/>
        </w:rPr>
      </w:pPr>
      <w:r w:rsidRPr="000B1406">
        <w:rPr>
          <w:sz w:val="24"/>
        </w:rPr>
        <w:t>Goal 7: Improve health and promote healthy</w:t>
      </w:r>
      <w:r w:rsidRPr="000B1406">
        <w:rPr>
          <w:spacing w:val="-7"/>
          <w:sz w:val="24"/>
        </w:rPr>
        <w:t xml:space="preserve"> </w:t>
      </w:r>
      <w:r w:rsidRPr="000B1406">
        <w:rPr>
          <w:sz w:val="24"/>
        </w:rPr>
        <w:t>lifestyles</w:t>
      </w:r>
    </w:p>
    <w:p w:rsidR="000B1406" w:rsidRPr="000B1406" w:rsidRDefault="000B1406" w:rsidP="000B1406">
      <w:pPr>
        <w:rPr>
          <w:sz w:val="31"/>
          <w:szCs w:val="24"/>
        </w:rPr>
      </w:pPr>
    </w:p>
    <w:p w:rsidR="000B1406" w:rsidRPr="000B1406" w:rsidRDefault="000B1406" w:rsidP="000B1406">
      <w:pPr>
        <w:spacing w:line="278" w:lineRule="auto"/>
        <w:ind w:left="240" w:right="220"/>
        <w:jc w:val="both"/>
        <w:rPr>
          <w:sz w:val="24"/>
          <w:szCs w:val="24"/>
        </w:rPr>
      </w:pPr>
      <w:r w:rsidRPr="000B1406">
        <w:rPr>
          <w:sz w:val="24"/>
          <w:szCs w:val="24"/>
        </w:rPr>
        <w:t>Proposals that meet the needs of one or more of the above priorities may be considered, provided that clear links can be shown.</w:t>
      </w:r>
    </w:p>
    <w:p w:rsidR="000B1406" w:rsidRPr="000B1406" w:rsidRDefault="000B1406" w:rsidP="000B1406">
      <w:pPr>
        <w:spacing w:before="8"/>
        <w:rPr>
          <w:sz w:val="27"/>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3769"/>
        <w:gridCol w:w="3039"/>
      </w:tblGrid>
      <w:tr w:rsidR="000B1406" w:rsidRPr="000B1406" w:rsidTr="00CE170C">
        <w:trPr>
          <w:trHeight w:val="834"/>
        </w:trPr>
        <w:tc>
          <w:tcPr>
            <w:tcW w:w="1476" w:type="dxa"/>
            <w:shd w:val="clear" w:color="auto" w:fill="FCE9D9"/>
          </w:tcPr>
          <w:p w:rsidR="000B1406" w:rsidRPr="000B1406" w:rsidRDefault="000B1406" w:rsidP="000B1406">
            <w:pPr>
              <w:spacing w:line="278" w:lineRule="auto"/>
              <w:ind w:left="107" w:right="526"/>
              <w:rPr>
                <w:b/>
                <w:sz w:val="24"/>
              </w:rPr>
            </w:pPr>
            <w:r w:rsidRPr="000B1406">
              <w:rPr>
                <w:b/>
                <w:sz w:val="24"/>
              </w:rPr>
              <w:t>Priority Areas</w:t>
            </w:r>
          </w:p>
        </w:tc>
        <w:tc>
          <w:tcPr>
            <w:tcW w:w="3769" w:type="dxa"/>
            <w:shd w:val="clear" w:color="auto" w:fill="FCE9D9"/>
          </w:tcPr>
          <w:p w:rsidR="000B1406" w:rsidRPr="000B1406" w:rsidRDefault="000B1406" w:rsidP="000B1406">
            <w:pPr>
              <w:spacing w:line="275" w:lineRule="exact"/>
              <w:ind w:left="107"/>
              <w:rPr>
                <w:b/>
                <w:sz w:val="24"/>
              </w:rPr>
            </w:pPr>
            <w:r w:rsidRPr="000B1406">
              <w:rPr>
                <w:b/>
                <w:sz w:val="24"/>
              </w:rPr>
              <w:t>Outcomes</w:t>
            </w:r>
          </w:p>
        </w:tc>
        <w:tc>
          <w:tcPr>
            <w:tcW w:w="3039" w:type="dxa"/>
            <w:shd w:val="clear" w:color="auto" w:fill="FCE9D9"/>
          </w:tcPr>
          <w:p w:rsidR="000B1406" w:rsidRPr="000B1406" w:rsidRDefault="000B1406" w:rsidP="000B1406">
            <w:pPr>
              <w:spacing w:line="275" w:lineRule="exact"/>
              <w:ind w:left="107"/>
              <w:rPr>
                <w:b/>
                <w:sz w:val="24"/>
              </w:rPr>
            </w:pPr>
            <w:r w:rsidRPr="000B1406">
              <w:rPr>
                <w:b/>
                <w:sz w:val="24"/>
              </w:rPr>
              <w:t>Outputs</w:t>
            </w:r>
          </w:p>
        </w:tc>
      </w:tr>
      <w:tr w:rsidR="000B1406" w:rsidRPr="000B1406" w:rsidTr="00CE170C">
        <w:trPr>
          <w:trHeight w:val="2623"/>
        </w:trPr>
        <w:tc>
          <w:tcPr>
            <w:tcW w:w="1476" w:type="dxa"/>
          </w:tcPr>
          <w:p w:rsidR="000B1406" w:rsidRPr="000B1406" w:rsidRDefault="000B1406" w:rsidP="000B1406">
            <w:pPr>
              <w:spacing w:line="278" w:lineRule="auto"/>
              <w:ind w:left="107" w:right="525"/>
              <w:rPr>
                <w:sz w:val="24"/>
              </w:rPr>
            </w:pPr>
            <w:r w:rsidRPr="000B1406">
              <w:rPr>
                <w:sz w:val="24"/>
              </w:rPr>
              <w:t>Gender Equality</w:t>
            </w:r>
          </w:p>
        </w:tc>
        <w:tc>
          <w:tcPr>
            <w:tcW w:w="3769" w:type="dxa"/>
          </w:tcPr>
          <w:p w:rsidR="000B1406" w:rsidRPr="000B1406" w:rsidRDefault="000B1406" w:rsidP="000B1406">
            <w:pPr>
              <w:spacing w:line="276" w:lineRule="auto"/>
              <w:ind w:left="107" w:right="94"/>
              <w:jc w:val="both"/>
              <w:rPr>
                <w:sz w:val="24"/>
              </w:rPr>
            </w:pPr>
            <w:r w:rsidRPr="000B1406">
              <w:rPr>
                <w:sz w:val="24"/>
              </w:rPr>
              <w:t>Participation of women and girls, men and boys, transgender in economic development</w:t>
            </w:r>
          </w:p>
          <w:p w:rsidR="000B1406" w:rsidRPr="000B1406" w:rsidRDefault="000B1406" w:rsidP="000B1406">
            <w:pPr>
              <w:tabs>
                <w:tab w:val="left" w:pos="1868"/>
                <w:tab w:val="left" w:pos="2873"/>
              </w:tabs>
              <w:spacing w:before="194" w:line="276" w:lineRule="auto"/>
              <w:ind w:left="107" w:right="95"/>
              <w:jc w:val="both"/>
              <w:rPr>
                <w:sz w:val="24"/>
              </w:rPr>
            </w:pPr>
            <w:r w:rsidRPr="000B1406">
              <w:rPr>
                <w:sz w:val="24"/>
              </w:rPr>
              <w:t xml:space="preserve">Equitable participation of </w:t>
            </w:r>
            <w:r w:rsidRPr="000B1406">
              <w:rPr>
                <w:spacing w:val="-4"/>
                <w:sz w:val="24"/>
              </w:rPr>
              <w:t>women</w:t>
            </w:r>
            <w:r w:rsidRPr="000B1406">
              <w:rPr>
                <w:spacing w:val="52"/>
                <w:sz w:val="24"/>
              </w:rPr>
              <w:t xml:space="preserve"> </w:t>
            </w:r>
            <w:r w:rsidRPr="000B1406">
              <w:rPr>
                <w:sz w:val="24"/>
              </w:rPr>
              <w:t xml:space="preserve">and men in decision </w:t>
            </w:r>
            <w:r w:rsidRPr="000B1406">
              <w:rPr>
                <w:spacing w:val="-3"/>
                <w:sz w:val="24"/>
              </w:rPr>
              <w:t xml:space="preserve">making, </w:t>
            </w:r>
            <w:r w:rsidRPr="000B1406">
              <w:rPr>
                <w:sz w:val="24"/>
              </w:rPr>
              <w:t>governance</w:t>
            </w:r>
            <w:r w:rsidRPr="000B1406">
              <w:rPr>
                <w:sz w:val="24"/>
              </w:rPr>
              <w:tab/>
              <w:t>and</w:t>
            </w:r>
            <w:r w:rsidRPr="000B1406">
              <w:rPr>
                <w:sz w:val="24"/>
              </w:rPr>
              <w:tab/>
            </w:r>
            <w:r w:rsidRPr="000B1406">
              <w:rPr>
                <w:spacing w:val="-3"/>
                <w:sz w:val="24"/>
              </w:rPr>
              <w:t xml:space="preserve">political </w:t>
            </w:r>
            <w:r w:rsidRPr="000B1406">
              <w:rPr>
                <w:sz w:val="24"/>
              </w:rPr>
              <w:t>representation</w:t>
            </w:r>
          </w:p>
        </w:tc>
        <w:tc>
          <w:tcPr>
            <w:tcW w:w="3039" w:type="dxa"/>
            <w:tcBorders>
              <w:bottom w:val="nil"/>
            </w:tcBorders>
          </w:tcPr>
          <w:p w:rsidR="000B1406" w:rsidRPr="000B1406" w:rsidRDefault="000B1406" w:rsidP="000B1406">
            <w:pPr>
              <w:spacing w:line="271" w:lineRule="exact"/>
              <w:ind w:left="107"/>
              <w:jc w:val="both"/>
              <w:rPr>
                <w:sz w:val="24"/>
              </w:rPr>
            </w:pPr>
            <w:r w:rsidRPr="000B1406">
              <w:rPr>
                <w:sz w:val="24"/>
              </w:rPr>
              <w:t>CSO Partnership Policy</w:t>
            </w:r>
          </w:p>
          <w:p w:rsidR="000B1406" w:rsidRPr="000B1406" w:rsidRDefault="000B1406" w:rsidP="000B1406">
            <w:pPr>
              <w:rPr>
                <w:sz w:val="21"/>
              </w:rPr>
            </w:pPr>
          </w:p>
          <w:p w:rsidR="000B1406" w:rsidRPr="000B1406" w:rsidRDefault="000B1406" w:rsidP="000B1406">
            <w:pPr>
              <w:spacing w:before="1" w:line="276" w:lineRule="auto"/>
              <w:ind w:left="107" w:right="96"/>
              <w:jc w:val="both"/>
              <w:rPr>
                <w:sz w:val="24"/>
              </w:rPr>
            </w:pPr>
            <w:r w:rsidRPr="000B1406">
              <w:rPr>
                <w:sz w:val="24"/>
              </w:rPr>
              <w:t>National Social Policies (Administer by the Ministry of Internal Affairs)</w:t>
            </w:r>
          </w:p>
          <w:p w:rsidR="000B1406" w:rsidRPr="000B1406" w:rsidRDefault="000B1406" w:rsidP="000B1406">
            <w:pPr>
              <w:spacing w:before="166" w:line="310" w:lineRule="atLeast"/>
              <w:ind w:left="107" w:right="98"/>
              <w:jc w:val="both"/>
              <w:rPr>
                <w:sz w:val="24"/>
              </w:rPr>
            </w:pPr>
            <w:r w:rsidRPr="000B1406">
              <w:rPr>
                <w:sz w:val="24"/>
              </w:rPr>
              <w:t xml:space="preserve">Social Impact </w:t>
            </w:r>
            <w:r w:rsidRPr="000B1406">
              <w:rPr>
                <w:spacing w:val="-5"/>
                <w:sz w:val="24"/>
              </w:rPr>
              <w:t xml:space="preserve">Fund </w:t>
            </w:r>
            <w:r w:rsidRPr="000B1406">
              <w:rPr>
                <w:sz w:val="24"/>
              </w:rPr>
              <w:t xml:space="preserve">Administration  </w:t>
            </w:r>
            <w:r w:rsidRPr="000B1406">
              <w:rPr>
                <w:spacing w:val="-3"/>
                <w:sz w:val="24"/>
              </w:rPr>
              <w:t xml:space="preserve">processes </w:t>
            </w:r>
            <w:r w:rsidRPr="000B1406">
              <w:rPr>
                <w:sz w:val="24"/>
              </w:rPr>
              <w:t>and</w:t>
            </w:r>
            <w:r w:rsidRPr="000B1406">
              <w:rPr>
                <w:spacing w:val="-1"/>
                <w:sz w:val="24"/>
              </w:rPr>
              <w:t xml:space="preserve"> </w:t>
            </w:r>
            <w:r w:rsidRPr="000B1406">
              <w:rPr>
                <w:sz w:val="24"/>
              </w:rPr>
              <w:t>Documents</w:t>
            </w:r>
          </w:p>
        </w:tc>
      </w:tr>
      <w:tr w:rsidR="000B1406" w:rsidRPr="000B1406" w:rsidTr="00CE170C">
        <w:trPr>
          <w:trHeight w:val="808"/>
        </w:trPr>
        <w:tc>
          <w:tcPr>
            <w:tcW w:w="1476" w:type="dxa"/>
            <w:tcBorders>
              <w:bottom w:val="nil"/>
            </w:tcBorders>
          </w:tcPr>
          <w:p w:rsidR="000B1406" w:rsidRPr="000B1406" w:rsidRDefault="000B1406" w:rsidP="000B1406">
            <w:pPr>
              <w:spacing w:line="276" w:lineRule="auto"/>
              <w:ind w:left="107" w:right="92"/>
              <w:rPr>
                <w:sz w:val="24"/>
              </w:rPr>
            </w:pPr>
            <w:r w:rsidRPr="000B1406">
              <w:rPr>
                <w:sz w:val="24"/>
              </w:rPr>
              <w:lastRenderedPageBreak/>
              <w:t>Children and Youth</w:t>
            </w:r>
          </w:p>
        </w:tc>
        <w:tc>
          <w:tcPr>
            <w:tcW w:w="3769" w:type="dxa"/>
            <w:tcBorders>
              <w:bottom w:val="nil"/>
            </w:tcBorders>
          </w:tcPr>
          <w:p w:rsidR="000B1406" w:rsidRPr="000B1406" w:rsidRDefault="000B1406" w:rsidP="000B1406">
            <w:pPr>
              <w:spacing w:line="276" w:lineRule="auto"/>
              <w:ind w:left="107"/>
              <w:rPr>
                <w:sz w:val="24"/>
              </w:rPr>
            </w:pPr>
            <w:r w:rsidRPr="000B1406">
              <w:rPr>
                <w:sz w:val="24"/>
              </w:rPr>
              <w:t>Participation of youth in economic, education &amp; lifelong opportunities</w:t>
            </w:r>
          </w:p>
        </w:tc>
        <w:tc>
          <w:tcPr>
            <w:tcW w:w="3039" w:type="dxa"/>
            <w:tcBorders>
              <w:top w:val="nil"/>
              <w:bottom w:val="nil"/>
            </w:tcBorders>
          </w:tcPr>
          <w:p w:rsidR="000B1406" w:rsidRPr="000B1406" w:rsidRDefault="000B1406" w:rsidP="000B1406">
            <w:pPr>
              <w:tabs>
                <w:tab w:val="left" w:pos="1179"/>
                <w:tab w:val="left" w:pos="1773"/>
                <w:tab w:val="left" w:pos="2742"/>
              </w:tabs>
              <w:spacing w:before="149" w:line="310" w:lineRule="atLeast"/>
              <w:ind w:left="107" w:right="97"/>
              <w:rPr>
                <w:sz w:val="24"/>
              </w:rPr>
            </w:pPr>
            <w:r w:rsidRPr="000B1406">
              <w:rPr>
                <w:sz w:val="24"/>
              </w:rPr>
              <w:t>Training</w:t>
            </w:r>
            <w:r w:rsidRPr="000B1406">
              <w:rPr>
                <w:sz w:val="24"/>
              </w:rPr>
              <w:tab/>
              <w:t>and</w:t>
            </w:r>
            <w:r w:rsidRPr="000B1406">
              <w:rPr>
                <w:sz w:val="24"/>
              </w:rPr>
              <w:tab/>
              <w:t>support</w:t>
            </w:r>
            <w:r w:rsidRPr="000B1406">
              <w:rPr>
                <w:sz w:val="24"/>
              </w:rPr>
              <w:tab/>
            </w:r>
            <w:r w:rsidRPr="000B1406">
              <w:rPr>
                <w:spacing w:val="-9"/>
                <w:sz w:val="24"/>
              </w:rPr>
              <w:t xml:space="preserve">to </w:t>
            </w:r>
            <w:r w:rsidRPr="000B1406">
              <w:rPr>
                <w:sz w:val="24"/>
              </w:rPr>
              <w:t>Cook Islands</w:t>
            </w:r>
            <w:r w:rsidRPr="000B1406">
              <w:rPr>
                <w:spacing w:val="-1"/>
                <w:sz w:val="24"/>
              </w:rPr>
              <w:t xml:space="preserve"> </w:t>
            </w:r>
            <w:r w:rsidRPr="000B1406">
              <w:rPr>
                <w:sz w:val="24"/>
              </w:rPr>
              <w:t>CSO’s</w:t>
            </w:r>
          </w:p>
        </w:tc>
      </w:tr>
      <w:tr w:rsidR="000B1406" w:rsidRPr="000B1406" w:rsidTr="00CE170C">
        <w:trPr>
          <w:trHeight w:val="739"/>
        </w:trPr>
        <w:tc>
          <w:tcPr>
            <w:tcW w:w="1476" w:type="dxa"/>
            <w:tcBorders>
              <w:top w:val="nil"/>
              <w:bottom w:val="nil"/>
            </w:tcBorders>
          </w:tcPr>
          <w:p w:rsidR="000B1406" w:rsidRPr="000B1406" w:rsidRDefault="000B1406" w:rsidP="000B1406">
            <w:pPr>
              <w:rPr>
                <w:sz w:val="24"/>
              </w:rPr>
            </w:pPr>
          </w:p>
        </w:tc>
        <w:tc>
          <w:tcPr>
            <w:tcW w:w="3769" w:type="dxa"/>
            <w:tcBorders>
              <w:top w:val="nil"/>
              <w:bottom w:val="nil"/>
            </w:tcBorders>
          </w:tcPr>
          <w:p w:rsidR="000B1406" w:rsidRPr="000B1406" w:rsidRDefault="000B1406" w:rsidP="000B1406">
            <w:pPr>
              <w:spacing w:before="21" w:line="276" w:lineRule="auto"/>
              <w:ind w:left="107"/>
              <w:rPr>
                <w:sz w:val="24"/>
              </w:rPr>
            </w:pPr>
            <w:r w:rsidRPr="000B1406">
              <w:rPr>
                <w:sz w:val="24"/>
              </w:rPr>
              <w:t>Strengthening strong family values, cultural and support</w:t>
            </w:r>
            <w:r w:rsidRPr="000B1406">
              <w:rPr>
                <w:spacing w:val="59"/>
                <w:sz w:val="24"/>
              </w:rPr>
              <w:t xml:space="preserve"> </w:t>
            </w:r>
            <w:r w:rsidRPr="000B1406">
              <w:rPr>
                <w:sz w:val="24"/>
              </w:rPr>
              <w:t>systems</w:t>
            </w:r>
          </w:p>
        </w:tc>
        <w:tc>
          <w:tcPr>
            <w:tcW w:w="3039" w:type="dxa"/>
            <w:tcBorders>
              <w:top w:val="nil"/>
              <w:bottom w:val="nil"/>
            </w:tcBorders>
          </w:tcPr>
          <w:p w:rsidR="000B1406" w:rsidRPr="000B1406" w:rsidRDefault="000B1406" w:rsidP="000B1406">
            <w:pPr>
              <w:rPr>
                <w:sz w:val="24"/>
              </w:rPr>
            </w:pPr>
          </w:p>
        </w:tc>
      </w:tr>
      <w:tr w:rsidR="000B1406" w:rsidRPr="000B1406" w:rsidTr="00CE170C">
        <w:trPr>
          <w:trHeight w:val="835"/>
        </w:trPr>
        <w:tc>
          <w:tcPr>
            <w:tcW w:w="1476" w:type="dxa"/>
            <w:tcBorders>
              <w:top w:val="nil"/>
              <w:bottom w:val="nil"/>
            </w:tcBorders>
          </w:tcPr>
          <w:p w:rsidR="000B1406" w:rsidRPr="000B1406" w:rsidRDefault="000B1406" w:rsidP="000B1406">
            <w:pPr>
              <w:rPr>
                <w:sz w:val="24"/>
              </w:rPr>
            </w:pPr>
          </w:p>
        </w:tc>
        <w:tc>
          <w:tcPr>
            <w:tcW w:w="3769" w:type="dxa"/>
            <w:tcBorders>
              <w:top w:val="nil"/>
              <w:bottom w:val="nil"/>
            </w:tcBorders>
          </w:tcPr>
          <w:p w:rsidR="000B1406" w:rsidRPr="000B1406" w:rsidRDefault="000B1406" w:rsidP="000B1406">
            <w:pPr>
              <w:spacing w:before="115" w:line="278" w:lineRule="auto"/>
              <w:ind w:left="107" w:right="226"/>
              <w:rPr>
                <w:sz w:val="24"/>
              </w:rPr>
            </w:pPr>
            <w:r w:rsidRPr="000B1406">
              <w:rPr>
                <w:sz w:val="24"/>
              </w:rPr>
              <w:t>Improved living conditions, health and welfare of children</w:t>
            </w:r>
          </w:p>
        </w:tc>
        <w:tc>
          <w:tcPr>
            <w:tcW w:w="3039" w:type="dxa"/>
            <w:tcBorders>
              <w:top w:val="nil"/>
              <w:bottom w:val="nil"/>
            </w:tcBorders>
          </w:tcPr>
          <w:p w:rsidR="000B1406" w:rsidRPr="000B1406" w:rsidRDefault="000B1406" w:rsidP="000B1406">
            <w:pPr>
              <w:rPr>
                <w:sz w:val="24"/>
              </w:rPr>
            </w:pPr>
          </w:p>
        </w:tc>
      </w:tr>
      <w:tr w:rsidR="000B1406" w:rsidRPr="000B1406" w:rsidTr="00CE170C">
        <w:trPr>
          <w:trHeight w:val="955"/>
        </w:trPr>
        <w:tc>
          <w:tcPr>
            <w:tcW w:w="1476" w:type="dxa"/>
            <w:tcBorders>
              <w:top w:val="nil"/>
            </w:tcBorders>
          </w:tcPr>
          <w:p w:rsidR="000B1406" w:rsidRPr="000B1406" w:rsidRDefault="000B1406" w:rsidP="000B1406">
            <w:pPr>
              <w:rPr>
                <w:sz w:val="24"/>
              </w:rPr>
            </w:pPr>
          </w:p>
        </w:tc>
        <w:tc>
          <w:tcPr>
            <w:tcW w:w="3769" w:type="dxa"/>
            <w:tcBorders>
              <w:top w:val="nil"/>
            </w:tcBorders>
          </w:tcPr>
          <w:p w:rsidR="000B1406" w:rsidRPr="000B1406" w:rsidRDefault="000B1406" w:rsidP="000B1406">
            <w:pPr>
              <w:spacing w:before="115" w:line="276" w:lineRule="auto"/>
              <w:ind w:left="107"/>
              <w:rPr>
                <w:sz w:val="24"/>
              </w:rPr>
            </w:pPr>
            <w:r w:rsidRPr="000B1406">
              <w:rPr>
                <w:sz w:val="24"/>
              </w:rPr>
              <w:t>The care and protection of children and young people at risk</w:t>
            </w:r>
          </w:p>
        </w:tc>
        <w:tc>
          <w:tcPr>
            <w:tcW w:w="3039" w:type="dxa"/>
            <w:tcBorders>
              <w:top w:val="nil"/>
            </w:tcBorders>
          </w:tcPr>
          <w:p w:rsidR="000B1406" w:rsidRPr="000B1406" w:rsidRDefault="000B1406" w:rsidP="000B1406">
            <w:pPr>
              <w:rPr>
                <w:sz w:val="24"/>
              </w:rPr>
            </w:pPr>
          </w:p>
        </w:tc>
      </w:tr>
      <w:tr w:rsidR="00B973EB" w:rsidRPr="000B1406" w:rsidTr="007B383E">
        <w:trPr>
          <w:trHeight w:val="3573"/>
        </w:trPr>
        <w:tc>
          <w:tcPr>
            <w:tcW w:w="1476" w:type="dxa"/>
          </w:tcPr>
          <w:p w:rsidR="00B973EB" w:rsidRPr="000B1406" w:rsidRDefault="00B973EB" w:rsidP="007B383E">
            <w:pPr>
              <w:spacing w:line="270" w:lineRule="exact"/>
              <w:ind w:left="107"/>
              <w:rPr>
                <w:sz w:val="24"/>
              </w:rPr>
            </w:pPr>
            <w:r w:rsidRPr="000B1406">
              <w:rPr>
                <w:sz w:val="24"/>
              </w:rPr>
              <w:t>Person with Disabilities</w:t>
            </w:r>
          </w:p>
        </w:tc>
        <w:tc>
          <w:tcPr>
            <w:tcW w:w="3769" w:type="dxa"/>
          </w:tcPr>
          <w:p w:rsidR="00B973EB" w:rsidRPr="000B1406" w:rsidRDefault="00B973EB" w:rsidP="007B383E">
            <w:pPr>
              <w:spacing w:line="276" w:lineRule="auto"/>
              <w:ind w:left="107" w:right="93"/>
              <w:jc w:val="both"/>
              <w:rPr>
                <w:sz w:val="24"/>
              </w:rPr>
            </w:pPr>
            <w:r w:rsidRPr="000B1406">
              <w:rPr>
                <w:sz w:val="24"/>
              </w:rPr>
              <w:t>Participation of people with disabilities in economic and employment, education, cultural, spiritual and recreation at all levels of family, community, island and national life</w:t>
            </w:r>
          </w:p>
          <w:p w:rsidR="00B973EB" w:rsidRPr="000B1406" w:rsidRDefault="00B973EB" w:rsidP="007B383E">
            <w:pPr>
              <w:spacing w:before="195" w:line="276" w:lineRule="auto"/>
              <w:ind w:left="107" w:right="97"/>
              <w:jc w:val="both"/>
              <w:rPr>
                <w:sz w:val="24"/>
              </w:rPr>
            </w:pPr>
            <w:r w:rsidRPr="000B1406">
              <w:rPr>
                <w:sz w:val="24"/>
              </w:rPr>
              <w:t xml:space="preserve">Provision and support services </w:t>
            </w:r>
            <w:r w:rsidRPr="000B1406">
              <w:rPr>
                <w:spacing w:val="-7"/>
                <w:sz w:val="24"/>
              </w:rPr>
              <w:t xml:space="preserve">to </w:t>
            </w:r>
            <w:r w:rsidRPr="000B1406">
              <w:rPr>
                <w:sz w:val="24"/>
              </w:rPr>
              <w:t xml:space="preserve">improve living conditions, </w:t>
            </w:r>
            <w:r w:rsidRPr="000B1406">
              <w:rPr>
                <w:spacing w:val="-4"/>
                <w:sz w:val="24"/>
              </w:rPr>
              <w:t xml:space="preserve">health </w:t>
            </w:r>
            <w:r w:rsidRPr="000B1406">
              <w:rPr>
                <w:sz w:val="24"/>
              </w:rPr>
              <w:t xml:space="preserve">and welfare to all persons </w:t>
            </w:r>
            <w:r w:rsidRPr="000B1406">
              <w:rPr>
                <w:spacing w:val="-4"/>
                <w:sz w:val="24"/>
              </w:rPr>
              <w:t xml:space="preserve">with </w:t>
            </w:r>
            <w:r w:rsidRPr="000B1406">
              <w:rPr>
                <w:sz w:val="24"/>
              </w:rPr>
              <w:t>disabilities and their</w:t>
            </w:r>
            <w:r w:rsidRPr="000B1406">
              <w:rPr>
                <w:spacing w:val="-2"/>
                <w:sz w:val="24"/>
              </w:rPr>
              <w:t xml:space="preserve"> </w:t>
            </w:r>
            <w:r w:rsidRPr="000B1406">
              <w:rPr>
                <w:sz w:val="24"/>
              </w:rPr>
              <w:t>families</w:t>
            </w:r>
          </w:p>
        </w:tc>
        <w:tc>
          <w:tcPr>
            <w:tcW w:w="3039" w:type="dxa"/>
            <w:vMerge w:val="restart"/>
          </w:tcPr>
          <w:p w:rsidR="00B973EB" w:rsidRPr="000B1406" w:rsidRDefault="00B973EB" w:rsidP="007B383E">
            <w:pPr>
              <w:rPr>
                <w:sz w:val="24"/>
              </w:rPr>
            </w:pPr>
          </w:p>
        </w:tc>
      </w:tr>
      <w:tr w:rsidR="00B973EB" w:rsidRPr="000B1406" w:rsidTr="007B383E">
        <w:trPr>
          <w:trHeight w:val="2940"/>
        </w:trPr>
        <w:tc>
          <w:tcPr>
            <w:tcW w:w="1476" w:type="dxa"/>
          </w:tcPr>
          <w:p w:rsidR="00B973EB" w:rsidRPr="000B1406" w:rsidRDefault="00B973EB" w:rsidP="007B383E">
            <w:pPr>
              <w:spacing w:line="270" w:lineRule="exact"/>
              <w:ind w:left="107"/>
              <w:rPr>
                <w:sz w:val="24"/>
              </w:rPr>
            </w:pPr>
            <w:r w:rsidRPr="000B1406">
              <w:rPr>
                <w:sz w:val="24"/>
              </w:rPr>
              <w:t>The Elderly</w:t>
            </w:r>
          </w:p>
        </w:tc>
        <w:tc>
          <w:tcPr>
            <w:tcW w:w="3769" w:type="dxa"/>
          </w:tcPr>
          <w:p w:rsidR="00B973EB" w:rsidRPr="000B1406" w:rsidRDefault="00B973EB" w:rsidP="007B383E">
            <w:pPr>
              <w:spacing w:line="276" w:lineRule="auto"/>
              <w:ind w:left="107" w:right="226"/>
              <w:rPr>
                <w:sz w:val="24"/>
              </w:rPr>
            </w:pPr>
            <w:r w:rsidRPr="000B1406">
              <w:rPr>
                <w:sz w:val="24"/>
              </w:rPr>
              <w:t>Participation of older persons in economic and employment, education, cultural, spiritual, and recreation at all levels of family, community, island and national life</w:t>
            </w:r>
          </w:p>
          <w:p w:rsidR="00B973EB" w:rsidRPr="000B1406" w:rsidRDefault="00B973EB" w:rsidP="007B383E">
            <w:pPr>
              <w:spacing w:before="196" w:line="276" w:lineRule="auto"/>
              <w:ind w:left="107" w:right="465"/>
              <w:jc w:val="both"/>
              <w:rPr>
                <w:sz w:val="24"/>
              </w:rPr>
            </w:pPr>
            <w:r w:rsidRPr="000B1406">
              <w:rPr>
                <w:sz w:val="24"/>
              </w:rPr>
              <w:t>Provision and support services to improve living conditions, health and welfare of older persons</w:t>
            </w:r>
          </w:p>
        </w:tc>
        <w:tc>
          <w:tcPr>
            <w:tcW w:w="3039" w:type="dxa"/>
            <w:vMerge/>
            <w:tcBorders>
              <w:top w:val="nil"/>
            </w:tcBorders>
          </w:tcPr>
          <w:p w:rsidR="00B973EB" w:rsidRPr="000B1406" w:rsidRDefault="00B973EB" w:rsidP="007B383E">
            <w:pPr>
              <w:rPr>
                <w:sz w:val="2"/>
                <w:szCs w:val="2"/>
              </w:rPr>
            </w:pPr>
          </w:p>
        </w:tc>
      </w:tr>
      <w:tr w:rsidR="00B973EB" w:rsidRPr="000B1406" w:rsidTr="007B383E">
        <w:trPr>
          <w:trHeight w:val="1987"/>
        </w:trPr>
        <w:tc>
          <w:tcPr>
            <w:tcW w:w="1476" w:type="dxa"/>
          </w:tcPr>
          <w:p w:rsidR="00B973EB" w:rsidRPr="000B1406" w:rsidRDefault="00B973EB" w:rsidP="007B383E">
            <w:pPr>
              <w:spacing w:line="276" w:lineRule="auto"/>
              <w:ind w:left="107" w:right="419"/>
              <w:rPr>
                <w:sz w:val="24"/>
              </w:rPr>
            </w:pPr>
            <w:r w:rsidRPr="000B1406">
              <w:rPr>
                <w:sz w:val="24"/>
              </w:rPr>
              <w:t>Domestic Violence</w:t>
            </w:r>
          </w:p>
        </w:tc>
        <w:tc>
          <w:tcPr>
            <w:tcW w:w="3769" w:type="dxa"/>
          </w:tcPr>
          <w:p w:rsidR="00B973EB" w:rsidRPr="000B1406" w:rsidRDefault="00B973EB" w:rsidP="007B383E">
            <w:pPr>
              <w:spacing w:line="276" w:lineRule="auto"/>
              <w:ind w:left="107" w:right="97"/>
              <w:jc w:val="both"/>
              <w:rPr>
                <w:sz w:val="24"/>
              </w:rPr>
            </w:pPr>
            <w:r w:rsidRPr="000B1406">
              <w:rPr>
                <w:sz w:val="24"/>
              </w:rPr>
              <w:t>Elimination of violence against women and children</w:t>
            </w:r>
          </w:p>
          <w:p w:rsidR="00B973EB" w:rsidRPr="000B1406" w:rsidRDefault="00B973EB" w:rsidP="007B383E">
            <w:pPr>
              <w:spacing w:before="194" w:line="276" w:lineRule="auto"/>
              <w:ind w:left="107" w:right="96"/>
              <w:jc w:val="both"/>
              <w:rPr>
                <w:sz w:val="24"/>
              </w:rPr>
            </w:pPr>
            <w:r w:rsidRPr="000B1406">
              <w:rPr>
                <w:sz w:val="24"/>
              </w:rPr>
              <w:t>Provision of support services to survivors, perpetrators and families of domestic violence</w:t>
            </w:r>
          </w:p>
        </w:tc>
        <w:tc>
          <w:tcPr>
            <w:tcW w:w="3039" w:type="dxa"/>
            <w:vMerge/>
            <w:tcBorders>
              <w:top w:val="nil"/>
            </w:tcBorders>
          </w:tcPr>
          <w:p w:rsidR="00B973EB" w:rsidRPr="000B1406" w:rsidRDefault="00B973EB" w:rsidP="007B383E">
            <w:pPr>
              <w:rPr>
                <w:sz w:val="2"/>
                <w:szCs w:val="2"/>
              </w:rPr>
            </w:pPr>
          </w:p>
        </w:tc>
      </w:tr>
      <w:tr w:rsidR="00B973EB" w:rsidRPr="000B1406" w:rsidTr="007B383E">
        <w:trPr>
          <w:trHeight w:val="2303"/>
        </w:trPr>
        <w:tc>
          <w:tcPr>
            <w:tcW w:w="1476" w:type="dxa"/>
          </w:tcPr>
          <w:p w:rsidR="00B973EB" w:rsidRPr="000B1406" w:rsidRDefault="00B973EB" w:rsidP="007B383E">
            <w:pPr>
              <w:spacing w:line="276" w:lineRule="auto"/>
              <w:ind w:left="107" w:right="659"/>
              <w:rPr>
                <w:sz w:val="24"/>
              </w:rPr>
            </w:pPr>
            <w:r w:rsidRPr="000B1406">
              <w:rPr>
                <w:sz w:val="24"/>
              </w:rPr>
              <w:t>Mental Health</w:t>
            </w:r>
          </w:p>
        </w:tc>
        <w:tc>
          <w:tcPr>
            <w:tcW w:w="3769" w:type="dxa"/>
          </w:tcPr>
          <w:p w:rsidR="00B973EB" w:rsidRPr="000B1406" w:rsidRDefault="00B973EB" w:rsidP="007B383E">
            <w:pPr>
              <w:spacing w:line="276" w:lineRule="auto"/>
              <w:ind w:left="107" w:right="96"/>
              <w:jc w:val="both"/>
              <w:rPr>
                <w:sz w:val="24"/>
              </w:rPr>
            </w:pPr>
            <w:r w:rsidRPr="000B1406">
              <w:rPr>
                <w:sz w:val="24"/>
              </w:rPr>
              <w:t>Participation of people with mental disorders in all levels of family, community, island and national life</w:t>
            </w:r>
          </w:p>
          <w:p w:rsidR="00B973EB" w:rsidRPr="000B1406" w:rsidRDefault="00B973EB" w:rsidP="007B383E">
            <w:pPr>
              <w:spacing w:before="194" w:line="276" w:lineRule="auto"/>
              <w:ind w:left="107" w:right="95"/>
              <w:jc w:val="both"/>
              <w:rPr>
                <w:sz w:val="24"/>
              </w:rPr>
            </w:pPr>
            <w:r w:rsidRPr="000B1406">
              <w:rPr>
                <w:sz w:val="24"/>
              </w:rPr>
              <w:t>Provision of social care services in community based such as Suicide and Respite care</w:t>
            </w:r>
          </w:p>
        </w:tc>
        <w:tc>
          <w:tcPr>
            <w:tcW w:w="3039" w:type="dxa"/>
            <w:vMerge/>
            <w:tcBorders>
              <w:top w:val="nil"/>
            </w:tcBorders>
          </w:tcPr>
          <w:p w:rsidR="00B973EB" w:rsidRPr="000B1406" w:rsidRDefault="00B973EB" w:rsidP="007B383E">
            <w:pPr>
              <w:rPr>
                <w:sz w:val="2"/>
                <w:szCs w:val="2"/>
              </w:rPr>
            </w:pPr>
          </w:p>
        </w:tc>
      </w:tr>
    </w:tbl>
    <w:p w:rsidR="000B1406" w:rsidRPr="000B1406" w:rsidRDefault="000B1406" w:rsidP="000B1406">
      <w:pPr>
        <w:rPr>
          <w:sz w:val="24"/>
        </w:rPr>
        <w:sectPr w:rsidR="000B1406" w:rsidRPr="000B1406">
          <w:pgSz w:w="11910" w:h="16840"/>
          <w:pgMar w:top="1420" w:right="1220" w:bottom="1200" w:left="1200" w:header="773" w:footer="923" w:gutter="0"/>
          <w:cols w:space="720"/>
        </w:sectPr>
      </w:pPr>
    </w:p>
    <w:p w:rsidR="000B1406" w:rsidRPr="000B1406" w:rsidRDefault="000B1406" w:rsidP="000B1406">
      <w:pPr>
        <w:spacing w:before="4"/>
        <w:rPr>
          <w:sz w:val="7"/>
          <w:szCs w:val="24"/>
        </w:rPr>
      </w:pPr>
    </w:p>
    <w:p w:rsidR="000B1406" w:rsidRPr="000B1406" w:rsidRDefault="000B1406" w:rsidP="000B1406">
      <w:pPr>
        <w:rPr>
          <w:sz w:val="20"/>
          <w:szCs w:val="24"/>
        </w:rPr>
      </w:pPr>
    </w:p>
    <w:p w:rsidR="000B1406" w:rsidRPr="000B1406" w:rsidRDefault="000B1406" w:rsidP="000B1406">
      <w:pPr>
        <w:spacing w:before="7"/>
        <w:rPr>
          <w:sz w:val="20"/>
          <w:szCs w:val="24"/>
        </w:rPr>
      </w:pPr>
    </w:p>
    <w:p w:rsidR="000B1406" w:rsidRPr="000B1406" w:rsidRDefault="000B1406" w:rsidP="000B1406">
      <w:pPr>
        <w:spacing w:before="90"/>
        <w:ind w:left="240"/>
        <w:outlineLvl w:val="1"/>
        <w:rPr>
          <w:b/>
          <w:bCs/>
          <w:sz w:val="24"/>
          <w:szCs w:val="24"/>
        </w:rPr>
      </w:pPr>
      <w:bookmarkStart w:id="2" w:name="_TOC_250005"/>
      <w:bookmarkEnd w:id="2"/>
      <w:r w:rsidRPr="000B1406">
        <w:rPr>
          <w:b/>
          <w:bCs/>
          <w:sz w:val="24"/>
          <w:szCs w:val="24"/>
        </w:rPr>
        <w:t>Social Impact Fund Structure</w:t>
      </w:r>
    </w:p>
    <w:p w:rsidR="000B1406" w:rsidRPr="000B1406" w:rsidRDefault="000B1406" w:rsidP="000B1406">
      <w:pPr>
        <w:spacing w:before="99" w:line="276" w:lineRule="auto"/>
        <w:ind w:left="240"/>
        <w:rPr>
          <w:sz w:val="24"/>
          <w:szCs w:val="24"/>
        </w:rPr>
      </w:pPr>
      <w:r w:rsidRPr="000B1406">
        <w:rPr>
          <w:sz w:val="24"/>
          <w:szCs w:val="24"/>
        </w:rPr>
        <w:t xml:space="preserve">The SIF has three components – a programme component, project component and </w:t>
      </w:r>
      <w:r w:rsidRPr="000B1406">
        <w:rPr>
          <w:color w:val="000000" w:themeColor="text1"/>
          <w:sz w:val="24"/>
          <w:szCs w:val="24"/>
        </w:rPr>
        <w:t>support &amp; awareness component</w:t>
      </w:r>
      <w:r w:rsidRPr="000B1406">
        <w:rPr>
          <w:sz w:val="24"/>
          <w:szCs w:val="24"/>
        </w:rPr>
        <w:t>. Proposals that involve activities in the Pa Enua are also assessed.</w:t>
      </w:r>
    </w:p>
    <w:p w:rsidR="000B1406" w:rsidRPr="000B1406" w:rsidRDefault="000B1406" w:rsidP="000B1406">
      <w:pPr>
        <w:spacing w:before="2"/>
        <w:rPr>
          <w:sz w:val="21"/>
          <w:szCs w:val="24"/>
        </w:rPr>
      </w:pPr>
    </w:p>
    <w:p w:rsidR="000B1406" w:rsidRPr="000B1406" w:rsidRDefault="000B1406" w:rsidP="000B1406">
      <w:pPr>
        <w:ind w:left="240"/>
        <w:outlineLvl w:val="2"/>
        <w:rPr>
          <w:b/>
          <w:bCs/>
          <w:i/>
          <w:sz w:val="24"/>
          <w:szCs w:val="24"/>
        </w:rPr>
      </w:pPr>
      <w:bookmarkStart w:id="3" w:name="_TOC_250004"/>
      <w:bookmarkEnd w:id="3"/>
      <w:r w:rsidRPr="000B1406">
        <w:rPr>
          <w:b/>
          <w:bCs/>
          <w:i/>
          <w:sz w:val="24"/>
          <w:szCs w:val="24"/>
        </w:rPr>
        <w:t>Component One: Project Funding</w:t>
      </w:r>
    </w:p>
    <w:p w:rsidR="000B1406" w:rsidRPr="000B1406" w:rsidRDefault="000B1406" w:rsidP="000B1406">
      <w:pPr>
        <w:spacing w:before="98"/>
        <w:ind w:left="240"/>
        <w:rPr>
          <w:sz w:val="24"/>
          <w:szCs w:val="24"/>
        </w:rPr>
      </w:pPr>
      <w:r w:rsidRPr="000B1406">
        <w:rPr>
          <w:sz w:val="24"/>
          <w:szCs w:val="24"/>
        </w:rPr>
        <w:t>This is for small scale initiatives that can be completed within one year for proposals between</w:t>
      </w:r>
    </w:p>
    <w:p w:rsidR="000B1406" w:rsidRDefault="000B1406" w:rsidP="000B1406">
      <w:pPr>
        <w:spacing w:before="41"/>
        <w:ind w:left="240"/>
        <w:rPr>
          <w:sz w:val="24"/>
          <w:szCs w:val="24"/>
        </w:rPr>
      </w:pPr>
      <w:r w:rsidRPr="000B1406">
        <w:rPr>
          <w:sz w:val="24"/>
          <w:szCs w:val="24"/>
        </w:rPr>
        <w:t>$5,000 to $20,000.</w:t>
      </w:r>
    </w:p>
    <w:p w:rsidR="00B973EB" w:rsidRDefault="00B973EB" w:rsidP="000B1406">
      <w:pPr>
        <w:spacing w:before="41"/>
        <w:ind w:left="240"/>
        <w:rPr>
          <w:sz w:val="24"/>
          <w:szCs w:val="24"/>
        </w:rPr>
      </w:pPr>
    </w:p>
    <w:p w:rsidR="00B973EB" w:rsidRPr="000B1406" w:rsidRDefault="00B973EB" w:rsidP="00B973EB">
      <w:pPr>
        <w:spacing w:before="82"/>
        <w:ind w:left="240"/>
        <w:outlineLvl w:val="2"/>
        <w:rPr>
          <w:b/>
          <w:bCs/>
          <w:i/>
          <w:sz w:val="24"/>
          <w:szCs w:val="24"/>
        </w:rPr>
      </w:pPr>
      <w:r w:rsidRPr="000B1406">
        <w:rPr>
          <w:b/>
          <w:bCs/>
          <w:i/>
          <w:sz w:val="24"/>
          <w:szCs w:val="24"/>
        </w:rPr>
        <w:t>Component Two: Programme Funding</w:t>
      </w:r>
    </w:p>
    <w:p w:rsidR="00B973EB" w:rsidRPr="000B1406" w:rsidRDefault="00B973EB" w:rsidP="00B973EB">
      <w:pPr>
        <w:spacing w:before="99" w:line="276" w:lineRule="auto"/>
        <w:ind w:left="240" w:right="264"/>
        <w:rPr>
          <w:sz w:val="24"/>
          <w:szCs w:val="24"/>
        </w:rPr>
      </w:pPr>
      <w:r w:rsidRPr="000B1406">
        <w:rPr>
          <w:sz w:val="24"/>
          <w:szCs w:val="24"/>
        </w:rPr>
        <w:t>Programme funding is for the delivery of targeted services to a specified priority area for up to three (3) years for proposals between $50,000 to</w:t>
      </w:r>
      <w:r w:rsidRPr="000B1406">
        <w:rPr>
          <w:spacing w:val="1"/>
          <w:sz w:val="24"/>
          <w:szCs w:val="24"/>
        </w:rPr>
        <w:t xml:space="preserve"> </w:t>
      </w:r>
      <w:r>
        <w:rPr>
          <w:sz w:val="24"/>
          <w:szCs w:val="24"/>
        </w:rPr>
        <w:t>$100</w:t>
      </w:r>
      <w:r w:rsidRPr="000B1406">
        <w:rPr>
          <w:sz w:val="24"/>
          <w:szCs w:val="24"/>
        </w:rPr>
        <w:t>,000.</w:t>
      </w:r>
    </w:p>
    <w:p w:rsidR="00B973EB" w:rsidRDefault="00B973EB" w:rsidP="00B973EB">
      <w:pPr>
        <w:spacing w:before="2"/>
        <w:rPr>
          <w:sz w:val="24"/>
          <w:szCs w:val="24"/>
        </w:rPr>
      </w:pPr>
    </w:p>
    <w:p w:rsidR="007F2162" w:rsidRPr="000B1406" w:rsidRDefault="007F2162" w:rsidP="00B973EB">
      <w:pPr>
        <w:spacing w:before="2"/>
        <w:rPr>
          <w:sz w:val="21"/>
          <w:szCs w:val="24"/>
        </w:rPr>
      </w:pPr>
    </w:p>
    <w:p w:rsidR="00B973EB" w:rsidRPr="000B1406" w:rsidRDefault="00B973EB" w:rsidP="00B973EB">
      <w:pPr>
        <w:ind w:left="240"/>
        <w:outlineLvl w:val="1"/>
        <w:rPr>
          <w:b/>
          <w:bCs/>
          <w:sz w:val="24"/>
          <w:szCs w:val="24"/>
        </w:rPr>
      </w:pPr>
      <w:bookmarkStart w:id="4" w:name="_TOC_250002"/>
      <w:bookmarkEnd w:id="4"/>
      <w:r w:rsidRPr="000B1406">
        <w:rPr>
          <w:b/>
          <w:bCs/>
          <w:sz w:val="24"/>
          <w:szCs w:val="24"/>
        </w:rPr>
        <w:t>Fund Conditions</w:t>
      </w:r>
    </w:p>
    <w:p w:rsidR="00B973EB" w:rsidRPr="000B1406" w:rsidRDefault="00B973EB" w:rsidP="00B973EB">
      <w:pPr>
        <w:spacing w:before="98"/>
        <w:ind w:left="240"/>
        <w:rPr>
          <w:sz w:val="24"/>
          <w:szCs w:val="24"/>
        </w:rPr>
      </w:pPr>
      <w:r w:rsidRPr="000B1406">
        <w:rPr>
          <w:sz w:val="24"/>
          <w:szCs w:val="24"/>
        </w:rPr>
        <w:t>Civil Society Organisations (CSOs) applying for funds must:</w:t>
      </w:r>
    </w:p>
    <w:p w:rsidR="00B973EB" w:rsidRPr="000B1406" w:rsidRDefault="00B973EB" w:rsidP="00B973EB">
      <w:pPr>
        <w:spacing w:before="1"/>
        <w:rPr>
          <w:sz w:val="21"/>
          <w:szCs w:val="24"/>
        </w:rPr>
      </w:pPr>
    </w:p>
    <w:p w:rsidR="00B973EB" w:rsidRPr="000B1406" w:rsidRDefault="00B973EB" w:rsidP="00B973EB">
      <w:pPr>
        <w:numPr>
          <w:ilvl w:val="0"/>
          <w:numId w:val="3"/>
        </w:numPr>
        <w:tabs>
          <w:tab w:val="left" w:pos="597"/>
          <w:tab w:val="left" w:pos="599"/>
        </w:tabs>
        <w:ind w:left="598" w:hanging="359"/>
        <w:rPr>
          <w:sz w:val="24"/>
        </w:rPr>
      </w:pPr>
      <w:r w:rsidRPr="000B1406">
        <w:rPr>
          <w:sz w:val="24"/>
        </w:rPr>
        <w:t>Be a Cook Islands registered CSO and operate in the Cook</w:t>
      </w:r>
      <w:r w:rsidRPr="000B1406">
        <w:rPr>
          <w:spacing w:val="2"/>
          <w:sz w:val="24"/>
        </w:rPr>
        <w:t xml:space="preserve"> </w:t>
      </w:r>
      <w:r w:rsidRPr="000B1406">
        <w:rPr>
          <w:sz w:val="24"/>
        </w:rPr>
        <w:t>Islands;</w:t>
      </w:r>
    </w:p>
    <w:p w:rsidR="00B973EB" w:rsidRPr="000B1406" w:rsidRDefault="00B973EB" w:rsidP="00B973EB">
      <w:pPr>
        <w:numPr>
          <w:ilvl w:val="0"/>
          <w:numId w:val="3"/>
        </w:numPr>
        <w:rPr>
          <w:color w:val="000000" w:themeColor="text1"/>
          <w:sz w:val="24"/>
        </w:rPr>
      </w:pPr>
      <w:r w:rsidRPr="000B1406">
        <w:rPr>
          <w:color w:val="000000" w:themeColor="text1"/>
          <w:sz w:val="24"/>
        </w:rPr>
        <w:t xml:space="preserve">Show that the aims and objectives of their </w:t>
      </w:r>
      <w:proofErr w:type="spellStart"/>
      <w:r w:rsidRPr="000B1406">
        <w:rPr>
          <w:color w:val="000000" w:themeColor="text1"/>
          <w:sz w:val="24"/>
        </w:rPr>
        <w:t>programmes</w:t>
      </w:r>
      <w:proofErr w:type="spellEnd"/>
      <w:r w:rsidRPr="000B1406">
        <w:rPr>
          <w:color w:val="000000" w:themeColor="text1"/>
          <w:sz w:val="24"/>
        </w:rPr>
        <w:t>/activities are inclusive of and support the development of Cook Islanders;</w:t>
      </w:r>
    </w:p>
    <w:p w:rsidR="00B973EB" w:rsidRPr="000B1406" w:rsidRDefault="00B973EB" w:rsidP="00B973EB">
      <w:pPr>
        <w:numPr>
          <w:ilvl w:val="0"/>
          <w:numId w:val="3"/>
        </w:numPr>
        <w:tabs>
          <w:tab w:val="left" w:pos="600"/>
          <w:tab w:val="left" w:pos="601"/>
        </w:tabs>
        <w:spacing w:before="39"/>
        <w:ind w:hanging="361"/>
        <w:rPr>
          <w:sz w:val="24"/>
        </w:rPr>
      </w:pPr>
      <w:r w:rsidRPr="000B1406">
        <w:rPr>
          <w:sz w:val="24"/>
        </w:rPr>
        <w:t>Have a local bank account in the name of the CSO, with a minimum of two</w:t>
      </w:r>
      <w:r w:rsidRPr="000B1406">
        <w:rPr>
          <w:spacing w:val="-9"/>
          <w:sz w:val="24"/>
        </w:rPr>
        <w:t xml:space="preserve"> </w:t>
      </w:r>
      <w:r w:rsidRPr="000B1406">
        <w:rPr>
          <w:sz w:val="24"/>
        </w:rPr>
        <w:t>signatories;</w:t>
      </w:r>
    </w:p>
    <w:p w:rsidR="00B973EB" w:rsidRPr="000B1406" w:rsidRDefault="00B973EB" w:rsidP="00B973EB">
      <w:pPr>
        <w:numPr>
          <w:ilvl w:val="0"/>
          <w:numId w:val="3"/>
        </w:numPr>
        <w:tabs>
          <w:tab w:val="left" w:pos="600"/>
          <w:tab w:val="left" w:pos="601"/>
        </w:tabs>
        <w:spacing w:before="39"/>
        <w:ind w:hanging="361"/>
        <w:rPr>
          <w:sz w:val="24"/>
        </w:rPr>
      </w:pPr>
      <w:r w:rsidRPr="000B1406">
        <w:rPr>
          <w:sz w:val="24"/>
        </w:rPr>
        <w:t>Maintain high standards of governance, conduct, and meet their reporting and accountability</w:t>
      </w:r>
      <w:r w:rsidRPr="000B1406">
        <w:rPr>
          <w:spacing w:val="-4"/>
          <w:sz w:val="24"/>
        </w:rPr>
        <w:t xml:space="preserve"> </w:t>
      </w:r>
      <w:r w:rsidRPr="000B1406">
        <w:rPr>
          <w:sz w:val="24"/>
        </w:rPr>
        <w:t>obligations;</w:t>
      </w:r>
    </w:p>
    <w:p w:rsidR="00B973EB" w:rsidRPr="000B1406" w:rsidRDefault="00B973EB" w:rsidP="00B973EB">
      <w:pPr>
        <w:numPr>
          <w:ilvl w:val="0"/>
          <w:numId w:val="3"/>
        </w:numPr>
        <w:tabs>
          <w:tab w:val="left" w:pos="600"/>
          <w:tab w:val="left" w:pos="601"/>
        </w:tabs>
        <w:spacing w:before="39"/>
        <w:ind w:hanging="361"/>
        <w:rPr>
          <w:color w:val="000000" w:themeColor="text1"/>
          <w:sz w:val="24"/>
        </w:rPr>
      </w:pPr>
      <w:r w:rsidRPr="000B1406">
        <w:rPr>
          <w:color w:val="000000" w:themeColor="text1"/>
          <w:sz w:val="24"/>
        </w:rPr>
        <w:t>Obtain Island Government endorsement and ensure alignment with the Island Development Plan, if operate in the Pa</w:t>
      </w:r>
      <w:r w:rsidRPr="000B1406">
        <w:rPr>
          <w:color w:val="000000" w:themeColor="text1"/>
          <w:spacing w:val="-4"/>
          <w:sz w:val="24"/>
        </w:rPr>
        <w:t xml:space="preserve"> </w:t>
      </w:r>
      <w:r w:rsidRPr="000B1406">
        <w:rPr>
          <w:color w:val="000000" w:themeColor="text1"/>
          <w:sz w:val="24"/>
        </w:rPr>
        <w:t>Enua;</w:t>
      </w:r>
    </w:p>
    <w:p w:rsidR="00B973EB" w:rsidRPr="000B1406" w:rsidRDefault="00B973EB" w:rsidP="00B973EB">
      <w:pPr>
        <w:numPr>
          <w:ilvl w:val="0"/>
          <w:numId w:val="3"/>
        </w:numPr>
        <w:tabs>
          <w:tab w:val="left" w:pos="600"/>
          <w:tab w:val="left" w:pos="601"/>
        </w:tabs>
        <w:spacing w:before="39"/>
        <w:ind w:hanging="361"/>
        <w:rPr>
          <w:color w:val="000000" w:themeColor="text1"/>
          <w:sz w:val="24"/>
        </w:rPr>
      </w:pPr>
      <w:r w:rsidRPr="000B1406">
        <w:rPr>
          <w:color w:val="000000" w:themeColor="text1"/>
          <w:sz w:val="24"/>
        </w:rPr>
        <w:t xml:space="preserve">Obtain support from relevant Stakeholders, Umbrella Bodies and Affiliate CSO; </w:t>
      </w:r>
    </w:p>
    <w:p w:rsidR="00B973EB" w:rsidRPr="000B1406" w:rsidRDefault="00B973EB" w:rsidP="00B973EB">
      <w:pPr>
        <w:numPr>
          <w:ilvl w:val="0"/>
          <w:numId w:val="3"/>
        </w:numPr>
        <w:tabs>
          <w:tab w:val="left" w:pos="600"/>
          <w:tab w:val="left" w:pos="601"/>
        </w:tabs>
        <w:spacing w:before="39"/>
        <w:ind w:hanging="361"/>
        <w:rPr>
          <w:sz w:val="24"/>
        </w:rPr>
      </w:pPr>
      <w:r w:rsidRPr="000B1406">
        <w:rPr>
          <w:sz w:val="24"/>
        </w:rPr>
        <w:t>Liaise with the Revenue Management Division, of the Ministry of Finance and Economic Management (MFEM) regarding tax obligations for employees/staff such as Pay as You Earn (PAYE) Tax, including Valued Added Tax (VAT) reimbursement and exemptions as a registered</w:t>
      </w:r>
      <w:r w:rsidRPr="000B1406">
        <w:rPr>
          <w:spacing w:val="-2"/>
          <w:sz w:val="24"/>
        </w:rPr>
        <w:t xml:space="preserve"> </w:t>
      </w:r>
      <w:r w:rsidRPr="000B1406">
        <w:rPr>
          <w:sz w:val="24"/>
        </w:rPr>
        <w:t xml:space="preserve">CSO; and </w:t>
      </w:r>
    </w:p>
    <w:p w:rsidR="00B973EB" w:rsidRPr="000B1406" w:rsidRDefault="00B973EB" w:rsidP="00B973EB">
      <w:pPr>
        <w:numPr>
          <w:ilvl w:val="0"/>
          <w:numId w:val="3"/>
        </w:numPr>
        <w:tabs>
          <w:tab w:val="left" w:pos="600"/>
          <w:tab w:val="left" w:pos="601"/>
        </w:tabs>
        <w:spacing w:before="39"/>
        <w:ind w:hanging="361"/>
        <w:rPr>
          <w:sz w:val="24"/>
        </w:rPr>
      </w:pPr>
      <w:r w:rsidRPr="000B1406">
        <w:rPr>
          <w:sz w:val="24"/>
        </w:rPr>
        <w:t>Liaise with the Cook Islands National Superannuation Fund (CINSF) Office regarding superannuation obligations for</w:t>
      </w:r>
      <w:r w:rsidRPr="000B1406">
        <w:rPr>
          <w:spacing w:val="-3"/>
          <w:sz w:val="24"/>
        </w:rPr>
        <w:t xml:space="preserve"> </w:t>
      </w:r>
      <w:r w:rsidRPr="000B1406">
        <w:rPr>
          <w:sz w:val="24"/>
        </w:rPr>
        <w:t>employees.</w:t>
      </w:r>
    </w:p>
    <w:p w:rsidR="00B973EB" w:rsidRPr="000B1406" w:rsidRDefault="00B973EB" w:rsidP="00B973EB">
      <w:pPr>
        <w:spacing w:before="2"/>
        <w:rPr>
          <w:sz w:val="21"/>
          <w:szCs w:val="24"/>
        </w:rPr>
      </w:pPr>
    </w:p>
    <w:p w:rsidR="00B973EB" w:rsidRPr="000B1406" w:rsidRDefault="00B973EB" w:rsidP="00B973EB">
      <w:pPr>
        <w:ind w:left="240"/>
        <w:outlineLvl w:val="1"/>
        <w:rPr>
          <w:b/>
          <w:bCs/>
          <w:sz w:val="24"/>
          <w:szCs w:val="24"/>
        </w:rPr>
      </w:pPr>
      <w:bookmarkStart w:id="5" w:name="_TOC_250001"/>
      <w:bookmarkEnd w:id="5"/>
      <w:r w:rsidRPr="000B1406">
        <w:rPr>
          <w:b/>
          <w:bCs/>
          <w:sz w:val="24"/>
          <w:szCs w:val="24"/>
        </w:rPr>
        <w:t>SIF does not support the following activities and costs:</w:t>
      </w:r>
    </w:p>
    <w:p w:rsidR="00B973EB" w:rsidRPr="000B1406" w:rsidRDefault="00B973EB" w:rsidP="00B973EB">
      <w:pPr>
        <w:numPr>
          <w:ilvl w:val="0"/>
          <w:numId w:val="3"/>
        </w:numPr>
        <w:tabs>
          <w:tab w:val="left" w:pos="667"/>
          <w:tab w:val="left" w:pos="668"/>
        </w:tabs>
        <w:spacing w:before="98"/>
        <w:ind w:left="667" w:hanging="428"/>
        <w:rPr>
          <w:sz w:val="24"/>
        </w:rPr>
      </w:pPr>
      <w:r w:rsidRPr="000B1406">
        <w:rPr>
          <w:sz w:val="24"/>
        </w:rPr>
        <w:t>Prizes, Gifts and</w:t>
      </w:r>
      <w:r w:rsidRPr="000B1406">
        <w:rPr>
          <w:spacing w:val="-1"/>
          <w:sz w:val="24"/>
        </w:rPr>
        <w:t xml:space="preserve"> </w:t>
      </w:r>
      <w:r w:rsidRPr="000B1406">
        <w:rPr>
          <w:sz w:val="24"/>
        </w:rPr>
        <w:t>Awards;</w:t>
      </w:r>
    </w:p>
    <w:p w:rsidR="00B973EB" w:rsidRPr="000B1406" w:rsidRDefault="00B973EB" w:rsidP="00B973EB">
      <w:pPr>
        <w:numPr>
          <w:ilvl w:val="0"/>
          <w:numId w:val="3"/>
        </w:numPr>
        <w:tabs>
          <w:tab w:val="left" w:pos="667"/>
          <w:tab w:val="left" w:pos="668"/>
        </w:tabs>
        <w:spacing w:before="40"/>
        <w:ind w:left="667" w:hanging="428"/>
        <w:rPr>
          <w:sz w:val="24"/>
        </w:rPr>
      </w:pPr>
      <w:r w:rsidRPr="000B1406">
        <w:rPr>
          <w:sz w:val="24"/>
        </w:rPr>
        <w:t>Cash Awards or Prizes including</w:t>
      </w:r>
      <w:r w:rsidRPr="000B1406">
        <w:rPr>
          <w:spacing w:val="-4"/>
          <w:sz w:val="24"/>
        </w:rPr>
        <w:t xml:space="preserve"> </w:t>
      </w:r>
      <w:r w:rsidRPr="000B1406">
        <w:rPr>
          <w:sz w:val="24"/>
        </w:rPr>
        <w:t>Donations;</w:t>
      </w:r>
    </w:p>
    <w:p w:rsidR="00B973EB" w:rsidRPr="000B1406" w:rsidRDefault="00B973EB" w:rsidP="00B973EB">
      <w:pPr>
        <w:numPr>
          <w:ilvl w:val="0"/>
          <w:numId w:val="3"/>
        </w:numPr>
        <w:tabs>
          <w:tab w:val="left" w:pos="667"/>
          <w:tab w:val="left" w:pos="668"/>
        </w:tabs>
        <w:spacing w:before="42"/>
        <w:ind w:left="667" w:hanging="428"/>
        <w:rPr>
          <w:sz w:val="24"/>
        </w:rPr>
      </w:pPr>
      <w:r w:rsidRPr="000B1406">
        <w:rPr>
          <w:sz w:val="24"/>
        </w:rPr>
        <w:t>Micro credit</w:t>
      </w:r>
      <w:r w:rsidRPr="000B1406">
        <w:rPr>
          <w:spacing w:val="-1"/>
          <w:sz w:val="24"/>
        </w:rPr>
        <w:t xml:space="preserve"> </w:t>
      </w:r>
      <w:r w:rsidRPr="000B1406">
        <w:rPr>
          <w:sz w:val="24"/>
        </w:rPr>
        <w:t>loans;</w:t>
      </w:r>
    </w:p>
    <w:p w:rsidR="00B973EB" w:rsidRPr="000B1406" w:rsidRDefault="00B973EB" w:rsidP="00B973EB">
      <w:pPr>
        <w:numPr>
          <w:ilvl w:val="0"/>
          <w:numId w:val="3"/>
        </w:numPr>
        <w:tabs>
          <w:tab w:val="left" w:pos="667"/>
          <w:tab w:val="left" w:pos="668"/>
        </w:tabs>
        <w:spacing w:before="42"/>
        <w:ind w:left="667" w:hanging="428"/>
        <w:rPr>
          <w:color w:val="000000" w:themeColor="text1"/>
          <w:sz w:val="24"/>
        </w:rPr>
      </w:pPr>
      <w:r w:rsidRPr="000B1406">
        <w:rPr>
          <w:color w:val="000000" w:themeColor="text1"/>
          <w:sz w:val="24"/>
        </w:rPr>
        <w:t xml:space="preserve">Construction – other than assisting with resourcing the inside to provide a service and other improvements (case by case); </w:t>
      </w:r>
    </w:p>
    <w:p w:rsidR="00B973EB" w:rsidRPr="000B1406" w:rsidRDefault="00B973EB" w:rsidP="00B973EB">
      <w:pPr>
        <w:numPr>
          <w:ilvl w:val="0"/>
          <w:numId w:val="3"/>
        </w:numPr>
        <w:tabs>
          <w:tab w:val="left" w:pos="667"/>
          <w:tab w:val="left" w:pos="668"/>
        </w:tabs>
        <w:spacing w:before="40"/>
        <w:ind w:left="667" w:hanging="428"/>
        <w:rPr>
          <w:color w:val="000000" w:themeColor="text1"/>
          <w:sz w:val="24"/>
        </w:rPr>
      </w:pPr>
      <w:r w:rsidRPr="000B1406">
        <w:rPr>
          <w:color w:val="000000" w:themeColor="text1"/>
          <w:sz w:val="24"/>
        </w:rPr>
        <w:t>Social functions catering – other than workshops, conferences, awareness and</w:t>
      </w:r>
      <w:r w:rsidRPr="000B1406">
        <w:rPr>
          <w:color w:val="000000" w:themeColor="text1"/>
          <w:spacing w:val="-4"/>
          <w:sz w:val="24"/>
        </w:rPr>
        <w:t xml:space="preserve"> </w:t>
      </w:r>
      <w:r w:rsidRPr="000B1406">
        <w:rPr>
          <w:color w:val="000000" w:themeColor="text1"/>
          <w:sz w:val="24"/>
        </w:rPr>
        <w:t>meetings (purchase of alcohol is prohibited);</w:t>
      </w:r>
    </w:p>
    <w:p w:rsidR="00B973EB" w:rsidRPr="000B1406" w:rsidRDefault="00B973EB" w:rsidP="00B973EB">
      <w:pPr>
        <w:numPr>
          <w:ilvl w:val="0"/>
          <w:numId w:val="3"/>
        </w:numPr>
        <w:tabs>
          <w:tab w:val="left" w:pos="667"/>
          <w:tab w:val="left" w:pos="668"/>
        </w:tabs>
        <w:spacing w:before="39"/>
        <w:ind w:left="667" w:hanging="428"/>
        <w:rPr>
          <w:sz w:val="24"/>
        </w:rPr>
      </w:pPr>
      <w:r w:rsidRPr="000B1406">
        <w:rPr>
          <w:sz w:val="24"/>
        </w:rPr>
        <w:t>Scholarships and</w:t>
      </w:r>
      <w:r w:rsidRPr="000B1406">
        <w:rPr>
          <w:spacing w:val="-1"/>
          <w:sz w:val="24"/>
        </w:rPr>
        <w:t xml:space="preserve"> </w:t>
      </w:r>
      <w:r w:rsidRPr="000B1406">
        <w:rPr>
          <w:sz w:val="24"/>
        </w:rPr>
        <w:t>internships;</w:t>
      </w:r>
    </w:p>
    <w:p w:rsidR="00B973EB" w:rsidRPr="000B1406" w:rsidRDefault="00B973EB" w:rsidP="00B973EB">
      <w:pPr>
        <w:numPr>
          <w:ilvl w:val="0"/>
          <w:numId w:val="3"/>
        </w:numPr>
        <w:tabs>
          <w:tab w:val="left" w:pos="667"/>
          <w:tab w:val="left" w:pos="668"/>
        </w:tabs>
        <w:spacing w:before="42"/>
        <w:ind w:left="667" w:hanging="428"/>
        <w:rPr>
          <w:sz w:val="24"/>
        </w:rPr>
      </w:pPr>
      <w:r w:rsidRPr="000B1406">
        <w:rPr>
          <w:sz w:val="24"/>
        </w:rPr>
        <w:t xml:space="preserve">Political </w:t>
      </w:r>
      <w:r>
        <w:rPr>
          <w:sz w:val="24"/>
        </w:rPr>
        <w:t xml:space="preserve">influence &amp; </w:t>
      </w:r>
      <w:r w:rsidRPr="000B1406">
        <w:rPr>
          <w:sz w:val="24"/>
        </w:rPr>
        <w:t>activities – other than education and voter awareness</w:t>
      </w:r>
      <w:r w:rsidRPr="000B1406">
        <w:rPr>
          <w:spacing w:val="-5"/>
          <w:sz w:val="24"/>
        </w:rPr>
        <w:t xml:space="preserve"> </w:t>
      </w:r>
      <w:proofErr w:type="spellStart"/>
      <w:r w:rsidRPr="000B1406">
        <w:rPr>
          <w:sz w:val="24"/>
        </w:rPr>
        <w:t>programmes</w:t>
      </w:r>
      <w:proofErr w:type="spellEnd"/>
      <w:r w:rsidRPr="000B1406">
        <w:rPr>
          <w:sz w:val="24"/>
        </w:rPr>
        <w:t>;</w:t>
      </w:r>
    </w:p>
    <w:p w:rsidR="00B973EB" w:rsidRPr="000B1406" w:rsidRDefault="00B973EB" w:rsidP="00B973EB">
      <w:pPr>
        <w:numPr>
          <w:ilvl w:val="0"/>
          <w:numId w:val="3"/>
        </w:numPr>
        <w:tabs>
          <w:tab w:val="left" w:pos="667"/>
          <w:tab w:val="left" w:pos="668"/>
        </w:tabs>
        <w:spacing w:before="42"/>
        <w:ind w:left="667" w:hanging="428"/>
        <w:rPr>
          <w:sz w:val="24"/>
        </w:rPr>
      </w:pPr>
      <w:r w:rsidRPr="000B1406">
        <w:rPr>
          <w:sz w:val="24"/>
        </w:rPr>
        <w:t>Government Projects;</w:t>
      </w:r>
    </w:p>
    <w:p w:rsidR="00B973EB" w:rsidRPr="000B1406" w:rsidRDefault="00B973EB" w:rsidP="00B973EB">
      <w:pPr>
        <w:numPr>
          <w:ilvl w:val="0"/>
          <w:numId w:val="3"/>
        </w:numPr>
        <w:tabs>
          <w:tab w:val="left" w:pos="667"/>
          <w:tab w:val="left" w:pos="668"/>
        </w:tabs>
        <w:spacing w:before="40"/>
        <w:ind w:left="667" w:hanging="428"/>
        <w:rPr>
          <w:sz w:val="24"/>
        </w:rPr>
      </w:pPr>
      <w:r w:rsidRPr="000B1406">
        <w:rPr>
          <w:sz w:val="24"/>
        </w:rPr>
        <w:lastRenderedPageBreak/>
        <w:t>Humanitarian aid (e.g. food and relief supplies after</w:t>
      </w:r>
      <w:r w:rsidRPr="000B1406">
        <w:rPr>
          <w:spacing w:val="-1"/>
          <w:sz w:val="24"/>
        </w:rPr>
        <w:t xml:space="preserve"> </w:t>
      </w:r>
      <w:r w:rsidRPr="000B1406">
        <w:rPr>
          <w:sz w:val="24"/>
        </w:rPr>
        <w:t>cyclones);</w:t>
      </w:r>
    </w:p>
    <w:p w:rsidR="00B973EB" w:rsidRPr="000B1406" w:rsidRDefault="00B973EB" w:rsidP="00B973EB">
      <w:pPr>
        <w:numPr>
          <w:ilvl w:val="0"/>
          <w:numId w:val="3"/>
        </w:numPr>
        <w:tabs>
          <w:tab w:val="left" w:pos="667"/>
          <w:tab w:val="left" w:pos="668"/>
        </w:tabs>
        <w:spacing w:before="40"/>
        <w:ind w:left="667" w:hanging="428"/>
        <w:rPr>
          <w:sz w:val="24"/>
        </w:rPr>
      </w:pPr>
      <w:r w:rsidRPr="000B1406">
        <w:rPr>
          <w:sz w:val="24"/>
        </w:rPr>
        <w:t xml:space="preserve">Beauty Pageants; </w:t>
      </w:r>
    </w:p>
    <w:p w:rsidR="00B973EB" w:rsidRPr="000B1406" w:rsidRDefault="00B973EB" w:rsidP="00B973EB">
      <w:pPr>
        <w:numPr>
          <w:ilvl w:val="0"/>
          <w:numId w:val="3"/>
        </w:numPr>
        <w:tabs>
          <w:tab w:val="left" w:pos="667"/>
          <w:tab w:val="left" w:pos="668"/>
        </w:tabs>
        <w:spacing w:before="42"/>
        <w:ind w:left="667" w:hanging="428"/>
        <w:rPr>
          <w:sz w:val="24"/>
        </w:rPr>
      </w:pPr>
      <w:r w:rsidRPr="000B1406">
        <w:rPr>
          <w:sz w:val="24"/>
        </w:rPr>
        <w:t>Projects which benefit only individuals or individual</w:t>
      </w:r>
      <w:r w:rsidRPr="000B1406">
        <w:rPr>
          <w:spacing w:val="-6"/>
          <w:sz w:val="24"/>
        </w:rPr>
        <w:t xml:space="preserve"> </w:t>
      </w:r>
      <w:r w:rsidRPr="000B1406">
        <w:rPr>
          <w:sz w:val="24"/>
        </w:rPr>
        <w:t>families;</w:t>
      </w:r>
    </w:p>
    <w:p w:rsidR="00B973EB" w:rsidRPr="000B1406" w:rsidRDefault="00B973EB" w:rsidP="00B973EB">
      <w:pPr>
        <w:numPr>
          <w:ilvl w:val="0"/>
          <w:numId w:val="3"/>
        </w:numPr>
        <w:tabs>
          <w:tab w:val="left" w:pos="667"/>
          <w:tab w:val="left" w:pos="668"/>
        </w:tabs>
        <w:spacing w:before="39" w:line="273" w:lineRule="auto"/>
        <w:ind w:left="667" w:right="211" w:hanging="428"/>
        <w:rPr>
          <w:sz w:val="24"/>
        </w:rPr>
      </w:pPr>
      <w:r w:rsidRPr="000B1406">
        <w:rPr>
          <w:sz w:val="24"/>
        </w:rPr>
        <w:t>Purchase of motor vehicles as defined in the Cook Islands Government Financial Policies &amp; Procedures</w:t>
      </w:r>
      <w:r w:rsidRPr="000B1406">
        <w:rPr>
          <w:spacing w:val="-1"/>
          <w:sz w:val="24"/>
        </w:rPr>
        <w:t xml:space="preserve"> </w:t>
      </w:r>
      <w:r w:rsidRPr="000B1406">
        <w:rPr>
          <w:sz w:val="24"/>
        </w:rPr>
        <w:t>Manual;</w:t>
      </w:r>
    </w:p>
    <w:p w:rsidR="00B973EB" w:rsidRPr="000B1406" w:rsidRDefault="00B973EB" w:rsidP="00B973EB">
      <w:pPr>
        <w:numPr>
          <w:ilvl w:val="0"/>
          <w:numId w:val="3"/>
        </w:numPr>
        <w:tabs>
          <w:tab w:val="left" w:pos="667"/>
          <w:tab w:val="left" w:pos="668"/>
        </w:tabs>
        <w:spacing w:before="3"/>
        <w:ind w:left="667" w:hanging="428"/>
        <w:rPr>
          <w:sz w:val="24"/>
        </w:rPr>
      </w:pPr>
      <w:r w:rsidRPr="000B1406">
        <w:rPr>
          <w:sz w:val="24"/>
        </w:rPr>
        <w:t>Agricultural</w:t>
      </w:r>
      <w:r w:rsidRPr="000B1406">
        <w:rPr>
          <w:spacing w:val="-1"/>
          <w:sz w:val="24"/>
        </w:rPr>
        <w:t xml:space="preserve"> </w:t>
      </w:r>
      <w:r w:rsidRPr="000B1406">
        <w:rPr>
          <w:sz w:val="24"/>
        </w:rPr>
        <w:t xml:space="preserve">chemicals; and </w:t>
      </w:r>
    </w:p>
    <w:p w:rsidR="00B973EB" w:rsidRPr="000B1406" w:rsidRDefault="00B973EB" w:rsidP="00B973EB">
      <w:pPr>
        <w:numPr>
          <w:ilvl w:val="0"/>
          <w:numId w:val="3"/>
        </w:numPr>
        <w:tabs>
          <w:tab w:val="left" w:pos="667"/>
          <w:tab w:val="left" w:pos="668"/>
        </w:tabs>
        <w:spacing w:before="40"/>
        <w:ind w:left="667" w:hanging="428"/>
        <w:rPr>
          <w:sz w:val="24"/>
        </w:rPr>
      </w:pPr>
      <w:r w:rsidRPr="000B1406">
        <w:rPr>
          <w:sz w:val="24"/>
        </w:rPr>
        <w:t>Religious/evangelical</w:t>
      </w:r>
      <w:r w:rsidRPr="000B1406">
        <w:rPr>
          <w:spacing w:val="-1"/>
          <w:sz w:val="24"/>
        </w:rPr>
        <w:t xml:space="preserve"> </w:t>
      </w:r>
      <w:r w:rsidRPr="000B1406">
        <w:rPr>
          <w:sz w:val="24"/>
        </w:rPr>
        <w:t>activities:</w:t>
      </w:r>
    </w:p>
    <w:p w:rsidR="00B973EB" w:rsidRPr="000B1406" w:rsidRDefault="00B973EB" w:rsidP="00B973EB">
      <w:pPr>
        <w:numPr>
          <w:ilvl w:val="1"/>
          <w:numId w:val="3"/>
        </w:numPr>
        <w:tabs>
          <w:tab w:val="left" w:pos="1678"/>
        </w:tabs>
        <w:spacing w:before="24" w:line="256" w:lineRule="auto"/>
        <w:ind w:right="221"/>
        <w:rPr>
          <w:sz w:val="24"/>
        </w:rPr>
      </w:pPr>
      <w:r w:rsidRPr="000B1406">
        <w:rPr>
          <w:sz w:val="24"/>
        </w:rPr>
        <w:t>designed to promote a particular religious’ belief e.g. production or distribution of religious material, establishment of</w:t>
      </w:r>
      <w:r w:rsidRPr="000B1406">
        <w:rPr>
          <w:spacing w:val="-1"/>
          <w:sz w:val="24"/>
        </w:rPr>
        <w:t xml:space="preserve"> </w:t>
      </w:r>
      <w:r w:rsidRPr="000B1406">
        <w:rPr>
          <w:sz w:val="24"/>
        </w:rPr>
        <w:t>churches;</w:t>
      </w:r>
    </w:p>
    <w:p w:rsidR="00B973EB" w:rsidRPr="000B1406" w:rsidRDefault="00B973EB" w:rsidP="00B973EB">
      <w:pPr>
        <w:numPr>
          <w:ilvl w:val="1"/>
          <w:numId w:val="3"/>
        </w:numPr>
        <w:tabs>
          <w:tab w:val="left" w:pos="1678"/>
        </w:tabs>
        <w:spacing w:before="25" w:line="256" w:lineRule="auto"/>
        <w:ind w:right="213"/>
        <w:rPr>
          <w:sz w:val="24"/>
        </w:rPr>
      </w:pPr>
      <w:r w:rsidRPr="000B1406">
        <w:rPr>
          <w:sz w:val="24"/>
        </w:rPr>
        <w:t>projects which require beneficiaries/communities to follow a particular set of beliefs in order to be involved in the</w:t>
      </w:r>
      <w:r w:rsidRPr="000B1406">
        <w:rPr>
          <w:spacing w:val="-3"/>
          <w:sz w:val="24"/>
        </w:rPr>
        <w:t xml:space="preserve"> </w:t>
      </w:r>
      <w:r w:rsidRPr="000B1406">
        <w:rPr>
          <w:sz w:val="24"/>
        </w:rPr>
        <w:t>project;</w:t>
      </w:r>
    </w:p>
    <w:p w:rsidR="00B973EB" w:rsidRPr="000B1406" w:rsidRDefault="00B973EB" w:rsidP="00B973EB">
      <w:pPr>
        <w:numPr>
          <w:ilvl w:val="1"/>
          <w:numId w:val="3"/>
        </w:numPr>
        <w:tabs>
          <w:tab w:val="left" w:pos="1678"/>
        </w:tabs>
        <w:spacing w:before="23"/>
        <w:rPr>
          <w:sz w:val="24"/>
        </w:rPr>
      </w:pPr>
      <w:r w:rsidRPr="000B1406">
        <w:rPr>
          <w:sz w:val="24"/>
        </w:rPr>
        <w:t>projects which have multiple objectives, need to be</w:t>
      </w:r>
      <w:r w:rsidRPr="000B1406">
        <w:rPr>
          <w:spacing w:val="-4"/>
          <w:sz w:val="24"/>
        </w:rPr>
        <w:t xml:space="preserve"> </w:t>
      </w:r>
      <w:r w:rsidRPr="000B1406">
        <w:rPr>
          <w:sz w:val="24"/>
        </w:rPr>
        <w:t>specific;</w:t>
      </w:r>
    </w:p>
    <w:p w:rsidR="00B973EB" w:rsidRPr="000B1406" w:rsidRDefault="00B973EB" w:rsidP="00B973EB">
      <w:pPr>
        <w:numPr>
          <w:ilvl w:val="1"/>
          <w:numId w:val="3"/>
        </w:numPr>
        <w:tabs>
          <w:tab w:val="left" w:pos="1678"/>
        </w:tabs>
        <w:spacing w:before="21" w:line="259" w:lineRule="auto"/>
        <w:ind w:right="219"/>
        <w:rPr>
          <w:sz w:val="24"/>
        </w:rPr>
      </w:pPr>
      <w:r w:rsidRPr="000B1406">
        <w:rPr>
          <w:sz w:val="24"/>
        </w:rPr>
        <w:t>projects where the beneficiary is a religious institution as distinct from the local community; and</w:t>
      </w:r>
    </w:p>
    <w:p w:rsidR="00B973EB" w:rsidRDefault="00B973EB" w:rsidP="00B973EB">
      <w:pPr>
        <w:numPr>
          <w:ilvl w:val="1"/>
          <w:numId w:val="3"/>
        </w:numPr>
        <w:tabs>
          <w:tab w:val="left" w:pos="1678"/>
        </w:tabs>
        <w:spacing w:before="21" w:line="259" w:lineRule="auto"/>
        <w:ind w:right="219"/>
        <w:rPr>
          <w:sz w:val="24"/>
        </w:rPr>
      </w:pPr>
      <w:r w:rsidRPr="000B1406">
        <w:rPr>
          <w:sz w:val="24"/>
        </w:rPr>
        <w:t>church groups will be required to open their services to other church groups and the community.</w:t>
      </w:r>
    </w:p>
    <w:p w:rsidR="00B973EB" w:rsidRPr="00B973EB" w:rsidRDefault="00B973EB" w:rsidP="00B973EB">
      <w:pPr>
        <w:pStyle w:val="Default"/>
        <w:rPr>
          <w:b/>
          <w:color w:val="auto"/>
        </w:rPr>
      </w:pPr>
    </w:p>
    <w:p w:rsidR="00B973EB" w:rsidRDefault="00B973EB" w:rsidP="00B973EB">
      <w:pPr>
        <w:pStyle w:val="Default"/>
        <w:rPr>
          <w:b/>
          <w:color w:val="auto"/>
        </w:rPr>
      </w:pPr>
      <w:r w:rsidRPr="00B973EB">
        <w:rPr>
          <w:b/>
          <w:color w:val="auto"/>
        </w:rPr>
        <w:t>Payment, Activity &amp; Training</w:t>
      </w:r>
    </w:p>
    <w:p w:rsidR="00B973EB" w:rsidRPr="00B973EB" w:rsidRDefault="00B973EB" w:rsidP="00B973EB">
      <w:pPr>
        <w:pStyle w:val="Default"/>
        <w:rPr>
          <w:b/>
          <w:color w:val="auto"/>
        </w:rPr>
      </w:pPr>
    </w:p>
    <w:p w:rsidR="00B973EB" w:rsidRPr="00B973EB" w:rsidRDefault="00B973EB" w:rsidP="00B973EB">
      <w:pPr>
        <w:pStyle w:val="Default"/>
        <w:rPr>
          <w:color w:val="auto"/>
        </w:rPr>
      </w:pPr>
      <w:r w:rsidRPr="00B973EB">
        <w:rPr>
          <w:color w:val="auto"/>
        </w:rPr>
        <w:t>All activities and payments for goods and services are to be</w:t>
      </w:r>
      <w:r>
        <w:rPr>
          <w:color w:val="auto"/>
        </w:rPr>
        <w:t xml:space="preserve"> made only in the Cook Islands. </w:t>
      </w:r>
      <w:r w:rsidRPr="00B973EB">
        <w:rPr>
          <w:color w:val="auto"/>
        </w:rPr>
        <w:t xml:space="preserve">Considerations on a case by case basis will be made where products are not available locally. </w:t>
      </w:r>
    </w:p>
    <w:p w:rsidR="00B973EB" w:rsidRPr="00B973EB" w:rsidRDefault="00B973EB" w:rsidP="00B973EB">
      <w:pPr>
        <w:pStyle w:val="Default"/>
        <w:rPr>
          <w:color w:val="auto"/>
        </w:rPr>
      </w:pPr>
      <w:r w:rsidRPr="00B973EB">
        <w:rPr>
          <w:color w:val="auto"/>
        </w:rPr>
        <w:t xml:space="preserve">SIFs will be allocated in an equitable and contestable process, consistent with the Cook Islands Government standards of accountability and transparency as per Part C, section 8 of the Cook Islands Government Financial Policies and Procedures Manual. </w:t>
      </w:r>
    </w:p>
    <w:p w:rsidR="00B973EB" w:rsidRPr="00B973EB" w:rsidRDefault="00B973EB" w:rsidP="00B973EB">
      <w:pPr>
        <w:pStyle w:val="Default"/>
        <w:rPr>
          <w:color w:val="auto"/>
        </w:rPr>
      </w:pPr>
    </w:p>
    <w:p w:rsidR="00B973EB" w:rsidRPr="00B973EB" w:rsidRDefault="00B973EB" w:rsidP="00B973EB">
      <w:pPr>
        <w:pStyle w:val="Default"/>
        <w:rPr>
          <w:color w:val="auto"/>
        </w:rPr>
      </w:pPr>
      <w:r w:rsidRPr="00B973EB">
        <w:rPr>
          <w:color w:val="auto"/>
        </w:rPr>
        <w:t xml:space="preserve">Support and training will be provided in results-based planning, delivery and reporting on funded projects and </w:t>
      </w:r>
      <w:proofErr w:type="spellStart"/>
      <w:r w:rsidRPr="00B973EB">
        <w:rPr>
          <w:color w:val="auto"/>
        </w:rPr>
        <w:t>programmes</w:t>
      </w:r>
      <w:proofErr w:type="spellEnd"/>
      <w:r w:rsidRPr="00B973EB">
        <w:rPr>
          <w:color w:val="auto"/>
        </w:rPr>
        <w:t xml:space="preserve"> to enable organisations to account for outcomes. </w:t>
      </w:r>
    </w:p>
    <w:p w:rsidR="00B973EB" w:rsidRPr="00B973EB" w:rsidRDefault="00B973EB" w:rsidP="00B973EB">
      <w:pPr>
        <w:pStyle w:val="Default"/>
        <w:rPr>
          <w:color w:val="auto"/>
        </w:rPr>
      </w:pPr>
      <w:r w:rsidRPr="00B973EB">
        <w:rPr>
          <w:color w:val="auto"/>
        </w:rPr>
        <w:t>In recognition of the value of multiyear funding, long term partnerships will be sought with CSO</w:t>
      </w:r>
      <w:r>
        <w:rPr>
          <w:color w:val="auto"/>
        </w:rPr>
        <w:t xml:space="preserve">. </w:t>
      </w:r>
    </w:p>
    <w:p w:rsidR="00B973EB" w:rsidRPr="000B1406" w:rsidRDefault="00B973EB" w:rsidP="000B1406">
      <w:pPr>
        <w:sectPr w:rsidR="00B973EB" w:rsidRPr="000B1406">
          <w:pgSz w:w="11910" w:h="16840"/>
          <w:pgMar w:top="1420" w:right="1220" w:bottom="1200" w:left="1200" w:header="773" w:footer="923" w:gutter="0"/>
          <w:cols w:space="720"/>
        </w:sectPr>
      </w:pPr>
      <w:bookmarkStart w:id="6" w:name="_GoBack"/>
      <w:bookmarkEnd w:id="6"/>
    </w:p>
    <w:p w:rsidR="0048635F" w:rsidRPr="00F221E6" w:rsidRDefault="0048635F" w:rsidP="00F221E6">
      <w:pPr>
        <w:tabs>
          <w:tab w:val="left" w:pos="4284"/>
        </w:tabs>
        <w:rPr>
          <w:sz w:val="24"/>
        </w:rPr>
      </w:pPr>
      <w:bookmarkStart w:id="7" w:name="_TOC_250003"/>
      <w:bookmarkEnd w:id="7"/>
    </w:p>
    <w:sectPr w:rsidR="0048635F" w:rsidRPr="00F221E6" w:rsidSect="000B1406">
      <w:headerReference w:type="default" r:id="rId15"/>
      <w:footerReference w:type="default" r:id="rId16"/>
      <w:pgSz w:w="11910" w:h="16840"/>
      <w:pgMar w:top="1420" w:right="1220" w:bottom="1120" w:left="1200" w:header="773"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75" w:rsidRDefault="00350575">
      <w:r>
        <w:separator/>
      </w:r>
    </w:p>
  </w:endnote>
  <w:endnote w:type="continuationSeparator" w:id="0">
    <w:p w:rsidR="00350575" w:rsidRDefault="0035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77" w:rsidRDefault="0059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F5" w:rsidRDefault="003303A0">
    <w:pPr>
      <w:pStyle w:val="BodyText"/>
      <w:spacing w:line="14" w:lineRule="auto"/>
      <w:rPr>
        <w:sz w:val="20"/>
      </w:rPr>
    </w:pPr>
    <w:r>
      <w:rPr>
        <w:noProof/>
      </w:rPr>
      <mc:AlternateContent>
        <mc:Choice Requires="wps">
          <w:drawing>
            <wp:anchor distT="0" distB="0" distL="114300" distR="114300" simplePos="0" relativeHeight="487409152" behindDoc="1" locked="0" layoutInCell="1" allowOverlap="1">
              <wp:simplePos x="0" y="0"/>
              <wp:positionH relativeFrom="page">
                <wp:posOffset>6539230</wp:posOffset>
              </wp:positionH>
              <wp:positionV relativeFrom="page">
                <wp:posOffset>9916160</wp:posOffset>
              </wp:positionV>
              <wp:extent cx="1473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F5" w:rsidRDefault="00D64EE8">
                          <w:pPr>
                            <w:spacing w:line="245" w:lineRule="exact"/>
                            <w:ind w:left="60"/>
                            <w:rPr>
                              <w:rFonts w:ascii="Calibri"/>
                            </w:rPr>
                          </w:pPr>
                          <w:r>
                            <w:fldChar w:fldCharType="begin"/>
                          </w:r>
                          <w:r>
                            <w:rPr>
                              <w:rFonts w:ascii="Calibri"/>
                            </w:rPr>
                            <w:instrText xml:space="preserve"> PAGE </w:instrText>
                          </w:r>
                          <w:r>
                            <w:fldChar w:fldCharType="separate"/>
                          </w:r>
                          <w:r w:rsidR="00F221E6">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4.9pt;margin-top:780.8pt;width:11.6pt;height:13.0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PUqw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" filled="f" stroked="f">
              <v:textbox inset="0,0,0,0">
                <w:txbxContent>
                  <w:p w:rsidR="007476F5" w:rsidRDefault="00D64EE8">
                    <w:pPr>
                      <w:spacing w:line="245" w:lineRule="exact"/>
                      <w:ind w:left="60"/>
                      <w:rPr>
                        <w:rFonts w:ascii="Calibri"/>
                      </w:rPr>
                    </w:pPr>
                    <w:r>
                      <w:fldChar w:fldCharType="begin"/>
                    </w:r>
                    <w:r>
                      <w:rPr>
                        <w:rFonts w:ascii="Calibri"/>
                      </w:rPr>
                      <w:instrText xml:space="preserve"> PAGE </w:instrText>
                    </w:r>
                    <w:r>
                      <w:fldChar w:fldCharType="separate"/>
                    </w:r>
                    <w:r w:rsidR="00F221E6">
                      <w:rPr>
                        <w:rFonts w:ascii="Calibri"/>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77" w:rsidRDefault="00592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F5" w:rsidRDefault="003303A0">
    <w:pPr>
      <w:pStyle w:val="BodyText"/>
      <w:spacing w:line="14" w:lineRule="auto"/>
      <w:rPr>
        <w:sz w:val="20"/>
      </w:rPr>
    </w:pPr>
    <w:r>
      <w:rPr>
        <w:noProof/>
      </w:rPr>
      <mc:AlternateContent>
        <mc:Choice Requires="wps">
          <w:drawing>
            <wp:anchor distT="0" distB="0" distL="114300" distR="114300" simplePos="0" relativeHeight="487410688" behindDoc="1" locked="0" layoutInCell="1" allowOverlap="1">
              <wp:simplePos x="0" y="0"/>
              <wp:positionH relativeFrom="page">
                <wp:posOffset>6539230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F5" w:rsidRDefault="00D64EE8">
                          <w:pPr>
                            <w:spacing w:line="245" w:lineRule="exact"/>
                            <w:ind w:left="60"/>
                            <w:rPr>
                              <w:rFonts w:ascii="Calibri"/>
                            </w:rPr>
                          </w:pPr>
                          <w:r>
                            <w:fldChar w:fldCharType="begin"/>
                          </w:r>
                          <w:r>
                            <w:rPr>
                              <w:rFonts w:ascii="Calibri"/>
                            </w:rPr>
                            <w:instrText xml:space="preserve"> PAGE </w:instrText>
                          </w:r>
                          <w:r>
                            <w:fldChar w:fldCharType="separate"/>
                          </w:r>
                          <w:r w:rsidR="00F221E6">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4.9pt;margin-top:780.8pt;width:11.6pt;height:13.0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" filled="f" stroked="f">
              <v:textbox inset="0,0,0,0">
                <w:txbxContent>
                  <w:p w:rsidR="007476F5" w:rsidRDefault="00D64EE8">
                    <w:pPr>
                      <w:spacing w:line="245" w:lineRule="exact"/>
                      <w:ind w:left="60"/>
                      <w:rPr>
                        <w:rFonts w:ascii="Calibri"/>
                      </w:rPr>
                    </w:pPr>
                    <w:r>
                      <w:fldChar w:fldCharType="begin"/>
                    </w:r>
                    <w:r>
                      <w:rPr>
                        <w:rFonts w:ascii="Calibri"/>
                      </w:rPr>
                      <w:instrText xml:space="preserve"> PAGE </w:instrText>
                    </w:r>
                    <w:r>
                      <w:fldChar w:fldCharType="separate"/>
                    </w:r>
                    <w:r w:rsidR="00F221E6">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75" w:rsidRDefault="00350575">
      <w:r>
        <w:separator/>
      </w:r>
    </w:p>
  </w:footnote>
  <w:footnote w:type="continuationSeparator" w:id="0">
    <w:p w:rsidR="00350575" w:rsidRDefault="0035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77" w:rsidRDefault="0059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77" w:rsidRDefault="0059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77" w:rsidRDefault="005928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F5" w:rsidRDefault="003303A0">
    <w:pPr>
      <w:pStyle w:val="BodyText"/>
      <w:spacing w:line="14" w:lineRule="auto"/>
      <w:rPr>
        <w:sz w:val="20"/>
      </w:rPr>
    </w:pPr>
    <w:r>
      <w:rPr>
        <w:noProof/>
      </w:rPr>
      <mc:AlternateContent>
        <mc:Choice Requires="wps">
          <w:drawing>
            <wp:anchor distT="0" distB="0" distL="114300" distR="114300" simplePos="0" relativeHeight="487409664" behindDoc="1" locked="0" layoutInCell="1" allowOverlap="1">
              <wp:simplePos x="0" y="0"/>
              <wp:positionH relativeFrom="page">
                <wp:posOffset>896620</wp:posOffset>
              </wp:positionH>
              <wp:positionV relativeFrom="page">
                <wp:posOffset>709930</wp:posOffset>
              </wp:positionV>
              <wp:extent cx="576897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65FB" id="Rectangle 3" o:spid="_x0000_s1026" style="position:absolute;margin-left:70.6pt;margin-top:55.9pt;width:454.25pt;height:.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Djdw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F2D"/>
    <w:multiLevelType w:val="hybridMultilevel"/>
    <w:tmpl w:val="86BAEE6C"/>
    <w:lvl w:ilvl="0" w:tplc="04090003">
      <w:start w:val="1"/>
      <w:numFmt w:val="bullet"/>
      <w:lvlText w:val="o"/>
      <w:lvlJc w:val="left"/>
      <w:pPr>
        <w:ind w:left="1678" w:hanging="360"/>
      </w:pPr>
      <w:rPr>
        <w:rFonts w:ascii="Courier New" w:hAnsi="Courier New" w:cs="Courier New" w:hint="default"/>
      </w:rPr>
    </w:lvl>
    <w:lvl w:ilvl="1" w:tplc="04090003" w:tentative="1">
      <w:start w:val="1"/>
      <w:numFmt w:val="bullet"/>
      <w:lvlText w:val="o"/>
      <w:lvlJc w:val="left"/>
      <w:pPr>
        <w:ind w:left="2398" w:hanging="360"/>
      </w:pPr>
      <w:rPr>
        <w:rFonts w:ascii="Courier New" w:hAnsi="Courier New" w:cs="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1" w15:restartNumberingAfterBreak="0">
    <w:nsid w:val="0A8305B1"/>
    <w:multiLevelType w:val="hybridMultilevel"/>
    <w:tmpl w:val="259EAAF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155B0290"/>
    <w:multiLevelType w:val="hybridMultilevel"/>
    <w:tmpl w:val="E726478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37D36073"/>
    <w:multiLevelType w:val="hybridMultilevel"/>
    <w:tmpl w:val="B26C4A5C"/>
    <w:lvl w:ilvl="0" w:tplc="FA66A072">
      <w:numFmt w:val="bullet"/>
      <w:lvlText w:val="-"/>
      <w:lvlJc w:val="left"/>
      <w:pPr>
        <w:ind w:left="240" w:hanging="166"/>
      </w:pPr>
      <w:rPr>
        <w:rFonts w:ascii="Times New Roman" w:eastAsia="Times New Roman" w:hAnsi="Times New Roman" w:cs="Times New Roman" w:hint="default"/>
        <w:w w:val="99"/>
        <w:sz w:val="24"/>
        <w:szCs w:val="24"/>
        <w:lang w:val="en-US" w:eastAsia="en-US" w:bidi="ar-SA"/>
      </w:rPr>
    </w:lvl>
    <w:lvl w:ilvl="1" w:tplc="CC2E7EBA">
      <w:numFmt w:val="bullet"/>
      <w:lvlText w:val="•"/>
      <w:lvlJc w:val="left"/>
      <w:pPr>
        <w:ind w:left="1164" w:hanging="166"/>
      </w:pPr>
      <w:rPr>
        <w:rFonts w:hint="default"/>
        <w:lang w:val="en-US" w:eastAsia="en-US" w:bidi="ar-SA"/>
      </w:rPr>
    </w:lvl>
    <w:lvl w:ilvl="2" w:tplc="1598D006">
      <w:numFmt w:val="bullet"/>
      <w:lvlText w:val="•"/>
      <w:lvlJc w:val="left"/>
      <w:pPr>
        <w:ind w:left="2089" w:hanging="166"/>
      </w:pPr>
      <w:rPr>
        <w:rFonts w:hint="default"/>
        <w:lang w:val="en-US" w:eastAsia="en-US" w:bidi="ar-SA"/>
      </w:rPr>
    </w:lvl>
    <w:lvl w:ilvl="3" w:tplc="0986BE6E">
      <w:numFmt w:val="bullet"/>
      <w:lvlText w:val="•"/>
      <w:lvlJc w:val="left"/>
      <w:pPr>
        <w:ind w:left="3013" w:hanging="166"/>
      </w:pPr>
      <w:rPr>
        <w:rFonts w:hint="default"/>
        <w:lang w:val="en-US" w:eastAsia="en-US" w:bidi="ar-SA"/>
      </w:rPr>
    </w:lvl>
    <w:lvl w:ilvl="4" w:tplc="F6248CB8">
      <w:numFmt w:val="bullet"/>
      <w:lvlText w:val="•"/>
      <w:lvlJc w:val="left"/>
      <w:pPr>
        <w:ind w:left="3938" w:hanging="166"/>
      </w:pPr>
      <w:rPr>
        <w:rFonts w:hint="default"/>
        <w:lang w:val="en-US" w:eastAsia="en-US" w:bidi="ar-SA"/>
      </w:rPr>
    </w:lvl>
    <w:lvl w:ilvl="5" w:tplc="07883D3E">
      <w:numFmt w:val="bullet"/>
      <w:lvlText w:val="•"/>
      <w:lvlJc w:val="left"/>
      <w:pPr>
        <w:ind w:left="4863" w:hanging="166"/>
      </w:pPr>
      <w:rPr>
        <w:rFonts w:hint="default"/>
        <w:lang w:val="en-US" w:eastAsia="en-US" w:bidi="ar-SA"/>
      </w:rPr>
    </w:lvl>
    <w:lvl w:ilvl="6" w:tplc="03E2462A">
      <w:numFmt w:val="bullet"/>
      <w:lvlText w:val="•"/>
      <w:lvlJc w:val="left"/>
      <w:pPr>
        <w:ind w:left="5787" w:hanging="166"/>
      </w:pPr>
      <w:rPr>
        <w:rFonts w:hint="default"/>
        <w:lang w:val="en-US" w:eastAsia="en-US" w:bidi="ar-SA"/>
      </w:rPr>
    </w:lvl>
    <w:lvl w:ilvl="7" w:tplc="2F38DEA6">
      <w:numFmt w:val="bullet"/>
      <w:lvlText w:val="•"/>
      <w:lvlJc w:val="left"/>
      <w:pPr>
        <w:ind w:left="6712" w:hanging="166"/>
      </w:pPr>
      <w:rPr>
        <w:rFonts w:hint="default"/>
        <w:lang w:val="en-US" w:eastAsia="en-US" w:bidi="ar-SA"/>
      </w:rPr>
    </w:lvl>
    <w:lvl w:ilvl="8" w:tplc="20EAFCD8">
      <w:numFmt w:val="bullet"/>
      <w:lvlText w:val="•"/>
      <w:lvlJc w:val="left"/>
      <w:pPr>
        <w:ind w:left="7637" w:hanging="166"/>
      </w:pPr>
      <w:rPr>
        <w:rFonts w:hint="default"/>
        <w:lang w:val="en-US" w:eastAsia="en-US" w:bidi="ar-SA"/>
      </w:rPr>
    </w:lvl>
  </w:abstractNum>
  <w:abstractNum w:abstractNumId="4" w15:restartNumberingAfterBreak="0">
    <w:nsid w:val="394B3587"/>
    <w:multiLevelType w:val="hybridMultilevel"/>
    <w:tmpl w:val="75800AA4"/>
    <w:lvl w:ilvl="0" w:tplc="B9E05576">
      <w:start w:val="1"/>
      <w:numFmt w:val="decimal"/>
      <w:lvlText w:val="%1."/>
      <w:lvlJc w:val="left"/>
      <w:pPr>
        <w:ind w:left="480" w:hanging="240"/>
      </w:pPr>
      <w:rPr>
        <w:rFonts w:ascii="Times New Roman" w:eastAsia="Times New Roman" w:hAnsi="Times New Roman" w:cs="Times New Roman" w:hint="default"/>
        <w:b/>
        <w:bCs/>
        <w:w w:val="100"/>
        <w:sz w:val="24"/>
        <w:szCs w:val="24"/>
        <w:lang w:val="en-US" w:eastAsia="en-US" w:bidi="ar-SA"/>
      </w:rPr>
    </w:lvl>
    <w:lvl w:ilvl="1" w:tplc="129A1198">
      <w:numFmt w:val="bullet"/>
      <w:lvlText w:val="•"/>
      <w:lvlJc w:val="left"/>
      <w:pPr>
        <w:ind w:left="1380" w:hanging="240"/>
      </w:pPr>
      <w:rPr>
        <w:rFonts w:hint="default"/>
        <w:lang w:val="en-US" w:eastAsia="en-US" w:bidi="ar-SA"/>
      </w:rPr>
    </w:lvl>
    <w:lvl w:ilvl="2" w:tplc="55AE76BE">
      <w:numFmt w:val="bullet"/>
      <w:lvlText w:val="•"/>
      <w:lvlJc w:val="left"/>
      <w:pPr>
        <w:ind w:left="2281" w:hanging="240"/>
      </w:pPr>
      <w:rPr>
        <w:rFonts w:hint="default"/>
        <w:lang w:val="en-US" w:eastAsia="en-US" w:bidi="ar-SA"/>
      </w:rPr>
    </w:lvl>
    <w:lvl w:ilvl="3" w:tplc="D96A3922">
      <w:numFmt w:val="bullet"/>
      <w:lvlText w:val="•"/>
      <w:lvlJc w:val="left"/>
      <w:pPr>
        <w:ind w:left="3181" w:hanging="240"/>
      </w:pPr>
      <w:rPr>
        <w:rFonts w:hint="default"/>
        <w:lang w:val="en-US" w:eastAsia="en-US" w:bidi="ar-SA"/>
      </w:rPr>
    </w:lvl>
    <w:lvl w:ilvl="4" w:tplc="38BE2B00">
      <w:numFmt w:val="bullet"/>
      <w:lvlText w:val="•"/>
      <w:lvlJc w:val="left"/>
      <w:pPr>
        <w:ind w:left="4082" w:hanging="240"/>
      </w:pPr>
      <w:rPr>
        <w:rFonts w:hint="default"/>
        <w:lang w:val="en-US" w:eastAsia="en-US" w:bidi="ar-SA"/>
      </w:rPr>
    </w:lvl>
    <w:lvl w:ilvl="5" w:tplc="FEA80B86">
      <w:numFmt w:val="bullet"/>
      <w:lvlText w:val="•"/>
      <w:lvlJc w:val="left"/>
      <w:pPr>
        <w:ind w:left="4983" w:hanging="240"/>
      </w:pPr>
      <w:rPr>
        <w:rFonts w:hint="default"/>
        <w:lang w:val="en-US" w:eastAsia="en-US" w:bidi="ar-SA"/>
      </w:rPr>
    </w:lvl>
    <w:lvl w:ilvl="6" w:tplc="63204428">
      <w:numFmt w:val="bullet"/>
      <w:lvlText w:val="•"/>
      <w:lvlJc w:val="left"/>
      <w:pPr>
        <w:ind w:left="5883" w:hanging="240"/>
      </w:pPr>
      <w:rPr>
        <w:rFonts w:hint="default"/>
        <w:lang w:val="en-US" w:eastAsia="en-US" w:bidi="ar-SA"/>
      </w:rPr>
    </w:lvl>
    <w:lvl w:ilvl="7" w:tplc="2506AB8C">
      <w:numFmt w:val="bullet"/>
      <w:lvlText w:val="•"/>
      <w:lvlJc w:val="left"/>
      <w:pPr>
        <w:ind w:left="6784" w:hanging="240"/>
      </w:pPr>
      <w:rPr>
        <w:rFonts w:hint="default"/>
        <w:lang w:val="en-US" w:eastAsia="en-US" w:bidi="ar-SA"/>
      </w:rPr>
    </w:lvl>
    <w:lvl w:ilvl="8" w:tplc="88967546">
      <w:numFmt w:val="bullet"/>
      <w:lvlText w:val="•"/>
      <w:lvlJc w:val="left"/>
      <w:pPr>
        <w:ind w:left="7685" w:hanging="240"/>
      </w:pPr>
      <w:rPr>
        <w:rFonts w:hint="default"/>
        <w:lang w:val="en-US" w:eastAsia="en-US" w:bidi="ar-SA"/>
      </w:rPr>
    </w:lvl>
  </w:abstractNum>
  <w:abstractNum w:abstractNumId="5" w15:restartNumberingAfterBreak="0">
    <w:nsid w:val="412749FA"/>
    <w:multiLevelType w:val="hybridMultilevel"/>
    <w:tmpl w:val="78FCEFE2"/>
    <w:lvl w:ilvl="0" w:tplc="5510BB20">
      <w:numFmt w:val="bullet"/>
      <w:lvlText w:val=""/>
      <w:lvlJc w:val="left"/>
      <w:pPr>
        <w:ind w:left="600" w:hanging="360"/>
      </w:pPr>
      <w:rPr>
        <w:rFonts w:ascii="Symbol" w:eastAsia="Symbol" w:hAnsi="Symbol" w:cs="Symbol" w:hint="default"/>
        <w:w w:val="100"/>
        <w:sz w:val="24"/>
        <w:szCs w:val="24"/>
        <w:lang w:val="en-US" w:eastAsia="en-US" w:bidi="ar-SA"/>
      </w:rPr>
    </w:lvl>
    <w:lvl w:ilvl="1" w:tplc="3EC801F4">
      <w:numFmt w:val="bullet"/>
      <w:lvlText w:val="o"/>
      <w:lvlJc w:val="left"/>
      <w:pPr>
        <w:ind w:left="1678" w:hanging="360"/>
      </w:pPr>
      <w:rPr>
        <w:rFonts w:ascii="Courier New" w:eastAsia="Courier New" w:hAnsi="Courier New" w:cs="Courier New" w:hint="default"/>
        <w:w w:val="100"/>
        <w:sz w:val="24"/>
        <w:szCs w:val="24"/>
        <w:lang w:val="en-US" w:eastAsia="en-US" w:bidi="ar-SA"/>
      </w:rPr>
    </w:lvl>
    <w:lvl w:ilvl="2" w:tplc="3D38E844">
      <w:numFmt w:val="bullet"/>
      <w:lvlText w:val="•"/>
      <w:lvlJc w:val="left"/>
      <w:pPr>
        <w:ind w:left="2547" w:hanging="360"/>
      </w:pPr>
      <w:rPr>
        <w:rFonts w:hint="default"/>
        <w:lang w:val="en-US" w:eastAsia="en-US" w:bidi="ar-SA"/>
      </w:rPr>
    </w:lvl>
    <w:lvl w:ilvl="3" w:tplc="F6D26648">
      <w:numFmt w:val="bullet"/>
      <w:lvlText w:val="•"/>
      <w:lvlJc w:val="left"/>
      <w:pPr>
        <w:ind w:left="3414" w:hanging="360"/>
      </w:pPr>
      <w:rPr>
        <w:rFonts w:hint="default"/>
        <w:lang w:val="en-US" w:eastAsia="en-US" w:bidi="ar-SA"/>
      </w:rPr>
    </w:lvl>
    <w:lvl w:ilvl="4" w:tplc="5F14DE2C">
      <w:numFmt w:val="bullet"/>
      <w:lvlText w:val="•"/>
      <w:lvlJc w:val="left"/>
      <w:pPr>
        <w:ind w:left="4282" w:hanging="360"/>
      </w:pPr>
      <w:rPr>
        <w:rFonts w:hint="default"/>
        <w:lang w:val="en-US" w:eastAsia="en-US" w:bidi="ar-SA"/>
      </w:rPr>
    </w:lvl>
    <w:lvl w:ilvl="5" w:tplc="014E6778">
      <w:numFmt w:val="bullet"/>
      <w:lvlText w:val="•"/>
      <w:lvlJc w:val="left"/>
      <w:pPr>
        <w:ind w:left="5149" w:hanging="360"/>
      </w:pPr>
      <w:rPr>
        <w:rFonts w:hint="default"/>
        <w:lang w:val="en-US" w:eastAsia="en-US" w:bidi="ar-SA"/>
      </w:rPr>
    </w:lvl>
    <w:lvl w:ilvl="6" w:tplc="E66EAC82">
      <w:numFmt w:val="bullet"/>
      <w:lvlText w:val="•"/>
      <w:lvlJc w:val="left"/>
      <w:pPr>
        <w:ind w:left="6016" w:hanging="360"/>
      </w:pPr>
      <w:rPr>
        <w:rFonts w:hint="default"/>
        <w:lang w:val="en-US" w:eastAsia="en-US" w:bidi="ar-SA"/>
      </w:rPr>
    </w:lvl>
    <w:lvl w:ilvl="7" w:tplc="ABDC9CAE">
      <w:numFmt w:val="bullet"/>
      <w:lvlText w:val="•"/>
      <w:lvlJc w:val="left"/>
      <w:pPr>
        <w:ind w:left="6884" w:hanging="360"/>
      </w:pPr>
      <w:rPr>
        <w:rFonts w:hint="default"/>
        <w:lang w:val="en-US" w:eastAsia="en-US" w:bidi="ar-SA"/>
      </w:rPr>
    </w:lvl>
    <w:lvl w:ilvl="8" w:tplc="49C2FAD4">
      <w:numFmt w:val="bullet"/>
      <w:lvlText w:val="•"/>
      <w:lvlJc w:val="left"/>
      <w:pPr>
        <w:ind w:left="7751" w:hanging="360"/>
      </w:pPr>
      <w:rPr>
        <w:rFonts w:hint="default"/>
        <w:lang w:val="en-US" w:eastAsia="en-US" w:bidi="ar-SA"/>
      </w:rPr>
    </w:lvl>
  </w:abstractNum>
  <w:abstractNum w:abstractNumId="6" w15:restartNumberingAfterBreak="0">
    <w:nsid w:val="52484877"/>
    <w:multiLevelType w:val="hybridMultilevel"/>
    <w:tmpl w:val="CABC17C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554739CC"/>
    <w:multiLevelType w:val="hybridMultilevel"/>
    <w:tmpl w:val="028C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D246B"/>
    <w:multiLevelType w:val="hybridMultilevel"/>
    <w:tmpl w:val="95B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36BBA"/>
    <w:multiLevelType w:val="hybridMultilevel"/>
    <w:tmpl w:val="F3D000B4"/>
    <w:lvl w:ilvl="0" w:tplc="83F0FCF0">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5"/>
    <w:rsid w:val="000401D8"/>
    <w:rsid w:val="00053520"/>
    <w:rsid w:val="00063BD6"/>
    <w:rsid w:val="000B1406"/>
    <w:rsid w:val="00130271"/>
    <w:rsid w:val="001F7A27"/>
    <w:rsid w:val="002B6DEA"/>
    <w:rsid w:val="003156B5"/>
    <w:rsid w:val="003303A0"/>
    <w:rsid w:val="00345B5A"/>
    <w:rsid w:val="00350575"/>
    <w:rsid w:val="003C5968"/>
    <w:rsid w:val="003F000D"/>
    <w:rsid w:val="003F5DA1"/>
    <w:rsid w:val="0040008F"/>
    <w:rsid w:val="0048635F"/>
    <w:rsid w:val="004D42D1"/>
    <w:rsid w:val="00541372"/>
    <w:rsid w:val="00592877"/>
    <w:rsid w:val="005F64DD"/>
    <w:rsid w:val="00645D8B"/>
    <w:rsid w:val="00707484"/>
    <w:rsid w:val="00711D8E"/>
    <w:rsid w:val="007476F5"/>
    <w:rsid w:val="007E2429"/>
    <w:rsid w:val="007F2162"/>
    <w:rsid w:val="007F2E8F"/>
    <w:rsid w:val="0081169B"/>
    <w:rsid w:val="00867510"/>
    <w:rsid w:val="008A5996"/>
    <w:rsid w:val="008F1AF0"/>
    <w:rsid w:val="00983ECC"/>
    <w:rsid w:val="00A037DD"/>
    <w:rsid w:val="00A3328B"/>
    <w:rsid w:val="00A522D2"/>
    <w:rsid w:val="00A719C2"/>
    <w:rsid w:val="00A9710B"/>
    <w:rsid w:val="00B24C3C"/>
    <w:rsid w:val="00B73760"/>
    <w:rsid w:val="00B76301"/>
    <w:rsid w:val="00B973EB"/>
    <w:rsid w:val="00BD0179"/>
    <w:rsid w:val="00BD6E0D"/>
    <w:rsid w:val="00C2586F"/>
    <w:rsid w:val="00C56502"/>
    <w:rsid w:val="00CE5F25"/>
    <w:rsid w:val="00D64EE8"/>
    <w:rsid w:val="00DB0D45"/>
    <w:rsid w:val="00E01DAE"/>
    <w:rsid w:val="00E12972"/>
    <w:rsid w:val="00E3216B"/>
    <w:rsid w:val="00EA3305"/>
    <w:rsid w:val="00EC5FAD"/>
    <w:rsid w:val="00EC64DB"/>
    <w:rsid w:val="00F221E6"/>
    <w:rsid w:val="00F251D7"/>
    <w:rsid w:val="00F73CC6"/>
    <w:rsid w:val="00FD3AFE"/>
    <w:rsid w:val="00FE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E0100C"/>
  <w15:docId w15:val="{AA8576EF-DDFC-473C-8422-18534DAB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1406"/>
    <w:rPr>
      <w:rFonts w:ascii="Times New Roman" w:eastAsia="Times New Roman" w:hAnsi="Times New Roman" w:cs="Times New Roman"/>
    </w:rPr>
  </w:style>
  <w:style w:type="paragraph" w:styleId="Heading1">
    <w:name w:val="heading 1"/>
    <w:basedOn w:val="Normal"/>
    <w:uiPriority w:val="1"/>
    <w:qFormat/>
    <w:pPr>
      <w:spacing w:before="121"/>
      <w:ind w:left="240"/>
      <w:outlineLvl w:val="0"/>
    </w:pPr>
    <w:rPr>
      <w:b/>
      <w:bCs/>
      <w:sz w:val="28"/>
      <w:szCs w:val="28"/>
    </w:rPr>
  </w:style>
  <w:style w:type="paragraph" w:styleId="Heading2">
    <w:name w:val="heading 2"/>
    <w:basedOn w:val="Normal"/>
    <w:link w:val="Heading2Char"/>
    <w:uiPriority w:val="1"/>
    <w:qFormat/>
    <w:pPr>
      <w:ind w:left="240"/>
      <w:outlineLvl w:val="1"/>
    </w:pPr>
    <w:rPr>
      <w:b/>
      <w:bCs/>
      <w:sz w:val="24"/>
      <w:szCs w:val="24"/>
    </w:rPr>
  </w:style>
  <w:style w:type="paragraph" w:styleId="Heading3">
    <w:name w:val="heading 3"/>
    <w:basedOn w:val="Normal"/>
    <w:uiPriority w:val="1"/>
    <w:qFormat/>
    <w:pPr>
      <w:ind w:left="2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4"/>
      <w:ind w:left="103"/>
    </w:pPr>
    <w:rPr>
      <w:sz w:val="24"/>
      <w:szCs w:val="24"/>
    </w:rPr>
  </w:style>
  <w:style w:type="paragraph" w:styleId="TOC2">
    <w:name w:val="toc 2"/>
    <w:basedOn w:val="Normal"/>
    <w:uiPriority w:val="39"/>
    <w:qFormat/>
    <w:pPr>
      <w:spacing w:before="242"/>
      <w:ind w:left="240"/>
    </w:pPr>
    <w:rPr>
      <w:sz w:val="24"/>
      <w:szCs w:val="24"/>
    </w:rPr>
  </w:style>
  <w:style w:type="paragraph" w:styleId="TOC3">
    <w:name w:val="toc 3"/>
    <w:basedOn w:val="Normal"/>
    <w:uiPriority w:val="39"/>
    <w:qFormat/>
    <w:pPr>
      <w:spacing w:before="244"/>
      <w:ind w:left="240"/>
    </w:pPr>
    <w:rPr>
      <w:rFonts w:ascii="Calibri" w:eastAsia="Calibri" w:hAnsi="Calibri" w:cs="Calibri"/>
      <w:b/>
      <w:bCs/>
      <w:i/>
    </w:rPr>
  </w:style>
  <w:style w:type="paragraph" w:styleId="BodyText">
    <w:name w:val="Body Text"/>
    <w:basedOn w:val="Normal"/>
    <w:uiPriority w:val="1"/>
    <w:qFormat/>
    <w:rPr>
      <w:sz w:val="24"/>
      <w:szCs w:val="24"/>
    </w:rPr>
  </w:style>
  <w:style w:type="paragraph" w:styleId="Title">
    <w:name w:val="Title"/>
    <w:basedOn w:val="Normal"/>
    <w:uiPriority w:val="1"/>
    <w:qFormat/>
    <w:pPr>
      <w:spacing w:line="345" w:lineRule="exact"/>
      <w:ind w:left="20"/>
    </w:pPr>
    <w:rPr>
      <w:rFonts w:ascii="Calibri" w:eastAsia="Calibri" w:hAnsi="Calibri" w:cs="Calibri"/>
      <w:b/>
      <w:bCs/>
      <w:sz w:val="32"/>
      <w:szCs w:val="32"/>
    </w:rPr>
  </w:style>
  <w:style w:type="paragraph" w:styleId="ListParagraph">
    <w:name w:val="List Paragraph"/>
    <w:basedOn w:val="Normal"/>
    <w:uiPriority w:val="1"/>
    <w:qFormat/>
    <w:pPr>
      <w:ind w:left="600" w:hanging="428"/>
    </w:pPr>
  </w:style>
  <w:style w:type="paragraph" w:customStyle="1" w:styleId="TableParagraph">
    <w:name w:val="Table Paragraph"/>
    <w:basedOn w:val="Normal"/>
    <w:uiPriority w:val="1"/>
    <w:qFormat/>
    <w:pPr>
      <w:ind w:left="107"/>
    </w:pPr>
  </w:style>
  <w:style w:type="paragraph" w:styleId="TOCHeading">
    <w:name w:val="TOC Heading"/>
    <w:basedOn w:val="Heading1"/>
    <w:next w:val="Normal"/>
    <w:uiPriority w:val="39"/>
    <w:unhideWhenUsed/>
    <w:qFormat/>
    <w:rsid w:val="00FD3AF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FD3AFE"/>
    <w:rPr>
      <w:color w:val="0000FF" w:themeColor="hyperlink"/>
      <w:u w:val="single"/>
    </w:rPr>
  </w:style>
  <w:style w:type="character" w:customStyle="1" w:styleId="Heading2Char">
    <w:name w:val="Heading 2 Char"/>
    <w:basedOn w:val="DefaultParagraphFont"/>
    <w:link w:val="Heading2"/>
    <w:uiPriority w:val="1"/>
    <w:rsid w:val="0048635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B1406"/>
    <w:pPr>
      <w:tabs>
        <w:tab w:val="center" w:pos="4680"/>
        <w:tab w:val="right" w:pos="9360"/>
      </w:tabs>
    </w:pPr>
  </w:style>
  <w:style w:type="character" w:customStyle="1" w:styleId="HeaderChar">
    <w:name w:val="Header Char"/>
    <w:basedOn w:val="DefaultParagraphFont"/>
    <w:link w:val="Header"/>
    <w:uiPriority w:val="99"/>
    <w:rsid w:val="000B1406"/>
    <w:rPr>
      <w:rFonts w:ascii="Times New Roman" w:eastAsia="Times New Roman" w:hAnsi="Times New Roman" w:cs="Times New Roman"/>
    </w:rPr>
  </w:style>
  <w:style w:type="paragraph" w:styleId="Footer">
    <w:name w:val="footer"/>
    <w:basedOn w:val="Normal"/>
    <w:link w:val="FooterChar"/>
    <w:uiPriority w:val="99"/>
    <w:unhideWhenUsed/>
    <w:rsid w:val="000B1406"/>
    <w:pPr>
      <w:tabs>
        <w:tab w:val="center" w:pos="4680"/>
        <w:tab w:val="right" w:pos="9360"/>
      </w:tabs>
    </w:pPr>
  </w:style>
  <w:style w:type="character" w:customStyle="1" w:styleId="FooterChar">
    <w:name w:val="Footer Char"/>
    <w:basedOn w:val="DefaultParagraphFont"/>
    <w:link w:val="Footer"/>
    <w:uiPriority w:val="99"/>
    <w:rsid w:val="000B1406"/>
    <w:rPr>
      <w:rFonts w:ascii="Times New Roman" w:eastAsia="Times New Roman" w:hAnsi="Times New Roman" w:cs="Times New Roman"/>
    </w:rPr>
  </w:style>
  <w:style w:type="paragraph" w:customStyle="1" w:styleId="Default">
    <w:name w:val="Default"/>
    <w:rsid w:val="00B973EB"/>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2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a.tuara</dc:creator>
  <cp:lastModifiedBy>Princess Heleina Raukete</cp:lastModifiedBy>
  <cp:revision>5</cp:revision>
  <cp:lastPrinted>2023-06-29T22:06:00Z</cp:lastPrinted>
  <dcterms:created xsi:type="dcterms:W3CDTF">2023-02-06T20:39:00Z</dcterms:created>
  <dcterms:modified xsi:type="dcterms:W3CDTF">2023-06-29T22:06:00Z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2013</vt:lpwstr>
  </property>
  <property fmtid="{D5CDD505-2E9C-101B-9397-08002B2CF9AE}" pid="4" name="LastSaved">
    <vt:filetime>2020-11-21T00:00:00Z</vt:filetime>
  </property>
</Properties>
</file>